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D65021" w14:textId="77777777" w:rsidR="00534283" w:rsidRDefault="00534283" w:rsidP="00534283"/>
    <w:tbl>
      <w:tblPr>
        <w:tblStyle w:val="Tablaconcuadrcula"/>
        <w:tblW w:w="8490"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119"/>
        <w:gridCol w:w="6371"/>
      </w:tblGrid>
      <w:tr w:rsidR="00534283" w14:paraId="6748FD2B" w14:textId="77777777" w:rsidTr="2BA4E756">
        <w:trPr>
          <w:trHeight w:val="360"/>
        </w:trPr>
        <w:tc>
          <w:tcPr>
            <w:tcW w:w="8490" w:type="dxa"/>
            <w:gridSpan w:val="2"/>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2F2F2" w:themeFill="background1" w:themeFillShade="F2"/>
            <w:tcMar>
              <w:top w:w="90" w:type="dxa"/>
              <w:left w:w="90" w:type="dxa"/>
              <w:bottom w:w="90" w:type="dxa"/>
              <w:right w:w="90" w:type="dxa"/>
            </w:tcMar>
          </w:tcPr>
          <w:p w14:paraId="36CCBBAF" w14:textId="6A173450" w:rsidR="00534283" w:rsidRDefault="00534283" w:rsidP="00792B06">
            <w:pPr>
              <w:pStyle w:val="Normal0"/>
              <w:widowControl w:val="0"/>
              <w:spacing w:before="60" w:after="60"/>
              <w:jc w:val="center"/>
              <w:rPr>
                <w:color w:val="2E74B5" w:themeColor="accent5" w:themeShade="BF"/>
                <w:sz w:val="24"/>
                <w:szCs w:val="24"/>
              </w:rPr>
            </w:pPr>
            <w:r w:rsidRPr="001543BE">
              <w:rPr>
                <w:b/>
                <w:bCs/>
                <w:color w:val="2E74B5" w:themeColor="accent5" w:themeShade="BF"/>
                <w:sz w:val="32"/>
                <w:szCs w:val="24"/>
              </w:rPr>
              <w:t>Glosario de términos</w:t>
            </w:r>
          </w:p>
        </w:tc>
      </w:tr>
      <w:tr w:rsidR="001543BE" w14:paraId="3A073C0F" w14:textId="77777777" w:rsidTr="001543BE">
        <w:trPr>
          <w:trHeight w:val="300"/>
        </w:trPr>
        <w:tc>
          <w:tcPr>
            <w:tcW w:w="2119"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2F2F2" w:themeFill="background1" w:themeFillShade="F2"/>
            <w:tcMar>
              <w:top w:w="90" w:type="dxa"/>
              <w:left w:w="90" w:type="dxa"/>
              <w:bottom w:w="90" w:type="dxa"/>
              <w:right w:w="90" w:type="dxa"/>
            </w:tcMar>
          </w:tcPr>
          <w:p w14:paraId="6D0F479C" w14:textId="5646F0CC" w:rsidR="001543BE" w:rsidRPr="2BA4E756" w:rsidRDefault="001543BE" w:rsidP="001543BE">
            <w:pPr>
              <w:rPr>
                <w:b/>
                <w:bCs/>
              </w:rPr>
            </w:pPr>
            <w:r w:rsidRPr="001543BE">
              <w:rPr>
                <w:b/>
                <w:bCs/>
              </w:rPr>
              <w:t>Competencias</w:t>
            </w:r>
            <w:r>
              <w:rPr>
                <w:b/>
                <w:bCs/>
              </w:rPr>
              <w:t xml:space="preserve"> o </w:t>
            </w:r>
            <w:r w:rsidRPr="001543BE">
              <w:rPr>
                <w:b/>
                <w:bCs/>
              </w:rPr>
              <w:t>habilidades blandas</w:t>
            </w:r>
          </w:p>
        </w:tc>
        <w:tc>
          <w:tcPr>
            <w:tcW w:w="6371"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2F2F2" w:themeFill="background1" w:themeFillShade="F2"/>
            <w:tcMar>
              <w:top w:w="90" w:type="dxa"/>
              <w:left w:w="90" w:type="dxa"/>
              <w:bottom w:w="90" w:type="dxa"/>
              <w:right w:w="90" w:type="dxa"/>
            </w:tcMar>
          </w:tcPr>
          <w:p w14:paraId="7E3B0A4E" w14:textId="035A0C01" w:rsidR="001543BE" w:rsidRPr="2BA4E756" w:rsidRDefault="001543BE" w:rsidP="00C66213">
            <w:pPr>
              <w:jc w:val="both"/>
            </w:pPr>
            <w:r w:rsidRPr="001543BE">
              <w:t>Cualidades personales y sociales que permiten a las personas interactuar y comunicarse efectivamente con otros y gestionar su trabajo y vida cotidiana.</w:t>
            </w:r>
          </w:p>
        </w:tc>
      </w:tr>
      <w:tr w:rsidR="00F1673B" w14:paraId="60BACF26" w14:textId="77777777" w:rsidTr="004F7941">
        <w:trPr>
          <w:trHeight w:val="300"/>
        </w:trPr>
        <w:tc>
          <w:tcPr>
            <w:tcW w:w="2119"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2F2F2" w:themeFill="background1" w:themeFillShade="F2"/>
            <w:tcMar>
              <w:top w:w="90" w:type="dxa"/>
              <w:left w:w="90" w:type="dxa"/>
              <w:bottom w:w="90" w:type="dxa"/>
              <w:right w:w="90" w:type="dxa"/>
            </w:tcMar>
          </w:tcPr>
          <w:p w14:paraId="18ECBD78" w14:textId="77777777" w:rsidR="00F1673B" w:rsidRDefault="00F1673B" w:rsidP="004F7941">
            <w:pPr>
              <w:rPr>
                <w:b/>
                <w:bCs/>
              </w:rPr>
            </w:pPr>
            <w:r w:rsidRPr="2BA4E756">
              <w:rPr>
                <w:b/>
                <w:bCs/>
              </w:rPr>
              <w:t>Discapacidad intelectual</w:t>
            </w:r>
          </w:p>
        </w:tc>
        <w:tc>
          <w:tcPr>
            <w:tcW w:w="6371"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2F2F2" w:themeFill="background1" w:themeFillShade="F2"/>
            <w:tcMar>
              <w:top w:w="90" w:type="dxa"/>
              <w:left w:w="90" w:type="dxa"/>
              <w:bottom w:w="90" w:type="dxa"/>
              <w:right w:w="90" w:type="dxa"/>
            </w:tcMar>
          </w:tcPr>
          <w:p w14:paraId="4D2D5FA3" w14:textId="77777777" w:rsidR="00F1673B" w:rsidRDefault="00F1673B" w:rsidP="004F7941">
            <w:pPr>
              <w:jc w:val="both"/>
            </w:pPr>
            <w:r w:rsidRPr="2BA4E756">
              <w:t>Que no puede realizar ciertas actividades debido a la alteración de sus funciones intelectuales o físicas.</w:t>
            </w:r>
          </w:p>
        </w:tc>
      </w:tr>
      <w:tr w:rsidR="001543BE" w14:paraId="60B46A72" w14:textId="77777777" w:rsidTr="001543BE">
        <w:trPr>
          <w:trHeight w:val="300"/>
        </w:trPr>
        <w:tc>
          <w:tcPr>
            <w:tcW w:w="2119"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2F2F2" w:themeFill="background1" w:themeFillShade="F2"/>
            <w:tcMar>
              <w:top w:w="90" w:type="dxa"/>
              <w:left w:w="90" w:type="dxa"/>
              <w:bottom w:w="90" w:type="dxa"/>
              <w:right w:w="90" w:type="dxa"/>
            </w:tcMar>
          </w:tcPr>
          <w:p w14:paraId="3D0FBF9A" w14:textId="1319B9C7" w:rsidR="001543BE" w:rsidRPr="001543BE" w:rsidRDefault="001543BE" w:rsidP="001543BE">
            <w:pPr>
              <w:rPr>
                <w:b/>
                <w:bCs/>
              </w:rPr>
            </w:pPr>
            <w:r w:rsidRPr="001543BE">
              <w:rPr>
                <w:b/>
                <w:bCs/>
              </w:rPr>
              <w:t xml:space="preserve">Escala </w:t>
            </w:r>
            <w:proofErr w:type="spellStart"/>
            <w:r w:rsidRPr="001543BE">
              <w:rPr>
                <w:b/>
                <w:bCs/>
              </w:rPr>
              <w:t>Ethos</w:t>
            </w:r>
            <w:proofErr w:type="spellEnd"/>
          </w:p>
        </w:tc>
        <w:tc>
          <w:tcPr>
            <w:tcW w:w="6371"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2F2F2" w:themeFill="background1" w:themeFillShade="F2"/>
            <w:tcMar>
              <w:top w:w="90" w:type="dxa"/>
              <w:left w:w="90" w:type="dxa"/>
              <w:bottom w:w="90" w:type="dxa"/>
              <w:right w:w="90" w:type="dxa"/>
            </w:tcMar>
          </w:tcPr>
          <w:p w14:paraId="20365DAD" w14:textId="195EA293" w:rsidR="001543BE" w:rsidRPr="001543BE" w:rsidRDefault="001543BE" w:rsidP="001543BE">
            <w:pPr>
              <w:jc w:val="both"/>
            </w:pPr>
            <w:r w:rsidRPr="001543BE">
              <w:t>Clasificación europea que define y categoriza diferentes situaciones de sinhogarismo y exclusión residencial.</w:t>
            </w:r>
          </w:p>
        </w:tc>
      </w:tr>
      <w:tr w:rsidR="00AA3645" w14:paraId="2DAF7B43" w14:textId="77777777" w:rsidTr="001543BE">
        <w:trPr>
          <w:trHeight w:val="405"/>
        </w:trPr>
        <w:tc>
          <w:tcPr>
            <w:tcW w:w="2119"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2F2F2" w:themeFill="background1" w:themeFillShade="F2"/>
            <w:tcMar>
              <w:top w:w="90" w:type="dxa"/>
              <w:left w:w="90" w:type="dxa"/>
              <w:bottom w:w="90" w:type="dxa"/>
              <w:right w:w="90" w:type="dxa"/>
            </w:tcMar>
          </w:tcPr>
          <w:p w14:paraId="66AF8BF0" w14:textId="2338B835" w:rsidR="00AA3645" w:rsidRPr="001543BE" w:rsidRDefault="00AA3645" w:rsidP="001543BE">
            <w:pPr>
              <w:rPr>
                <w:b/>
                <w:bCs/>
              </w:rPr>
            </w:pPr>
            <w:r w:rsidRPr="00AA3645">
              <w:rPr>
                <w:b/>
                <w:bCs/>
              </w:rPr>
              <w:t xml:space="preserve">Escala </w:t>
            </w:r>
            <w:proofErr w:type="spellStart"/>
            <w:r w:rsidRPr="00AA3645">
              <w:rPr>
                <w:b/>
                <w:bCs/>
              </w:rPr>
              <w:t>SiSo</w:t>
            </w:r>
            <w:proofErr w:type="spellEnd"/>
            <w:r w:rsidRPr="00AA3645">
              <w:rPr>
                <w:b/>
                <w:bCs/>
              </w:rPr>
              <w:t xml:space="preserve"> de exclusión social</w:t>
            </w:r>
          </w:p>
        </w:tc>
        <w:tc>
          <w:tcPr>
            <w:tcW w:w="6371"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2F2F2" w:themeFill="background1" w:themeFillShade="F2"/>
            <w:tcMar>
              <w:top w:w="90" w:type="dxa"/>
              <w:left w:w="90" w:type="dxa"/>
              <w:bottom w:w="90" w:type="dxa"/>
              <w:right w:w="90" w:type="dxa"/>
            </w:tcMar>
          </w:tcPr>
          <w:p w14:paraId="77986D8C" w14:textId="51FF89FE" w:rsidR="00AA3645" w:rsidRPr="34F884E9" w:rsidRDefault="00AA3645" w:rsidP="001543BE">
            <w:pPr>
              <w:pStyle w:val="Normal0"/>
              <w:widowControl w:val="0"/>
              <w:jc w:val="both"/>
              <w:rPr>
                <w:color w:val="000000" w:themeColor="text1"/>
              </w:rPr>
            </w:pPr>
            <w:r w:rsidRPr="008567E7">
              <w:t xml:space="preserve">Se trata de un indicador sintético compuesto por 28 variables determinantes en el diagnóstico y para la intervención en las situaciones de exclusión, organizadas en 7 ámbitos vitales (económico, laboral, formación, residencial, </w:t>
            </w:r>
            <w:proofErr w:type="spellStart"/>
            <w:r w:rsidRPr="008567E7">
              <w:t>sociosanitario</w:t>
            </w:r>
            <w:proofErr w:type="spellEnd"/>
            <w:r w:rsidRPr="008567E7">
              <w:t xml:space="preserve">, relacional y personal). Toma valores entre 0 (ausencia de exclusión social) y 113 (máximo nivel de exclusión social). Además, se construye a partir de la puntuación obtenida en la escala otro indicador, denominado “Posición eje inclusión-exclusión”, que toma tres valores: exclusión grave (puntuación superior a 58 en </w:t>
            </w:r>
            <w:proofErr w:type="spellStart"/>
            <w:r w:rsidRPr="008567E7">
              <w:t>SiSo</w:t>
            </w:r>
            <w:proofErr w:type="spellEnd"/>
            <w:r w:rsidRPr="008567E7">
              <w:t xml:space="preserve">), exclusión moderada (puntuación entre 29 y 57) y exclusión leve (puntuación igual o inferior a 28 en </w:t>
            </w:r>
            <w:proofErr w:type="spellStart"/>
            <w:r w:rsidRPr="008567E7">
              <w:t>SiSo</w:t>
            </w:r>
            <w:proofErr w:type="spellEnd"/>
            <w:r w:rsidRPr="008567E7">
              <w:t>).</w:t>
            </w:r>
          </w:p>
        </w:tc>
      </w:tr>
      <w:tr w:rsidR="00534283" w14:paraId="72FD298D" w14:textId="77777777" w:rsidTr="001543BE">
        <w:trPr>
          <w:trHeight w:val="405"/>
        </w:trPr>
        <w:tc>
          <w:tcPr>
            <w:tcW w:w="2119"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2F2F2" w:themeFill="background1" w:themeFillShade="F2"/>
            <w:tcMar>
              <w:top w:w="90" w:type="dxa"/>
              <w:left w:w="90" w:type="dxa"/>
              <w:bottom w:w="90" w:type="dxa"/>
              <w:right w:w="90" w:type="dxa"/>
            </w:tcMar>
          </w:tcPr>
          <w:p w14:paraId="7625373B" w14:textId="77777777" w:rsidR="00534283" w:rsidRPr="00AA3645" w:rsidRDefault="00534283" w:rsidP="001543BE">
            <w:pPr>
              <w:pStyle w:val="Normal0"/>
              <w:widowControl w:val="0"/>
              <w:rPr>
                <w:b/>
                <w:bCs/>
                <w:color w:val="000000" w:themeColor="text1"/>
              </w:rPr>
            </w:pPr>
            <w:r w:rsidRPr="00AA3645">
              <w:rPr>
                <w:b/>
                <w:bCs/>
                <w:color w:val="000000" w:themeColor="text1"/>
              </w:rPr>
              <w:t>Estadísticamente significativo</w:t>
            </w:r>
          </w:p>
        </w:tc>
        <w:tc>
          <w:tcPr>
            <w:tcW w:w="6371"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2F2F2" w:themeFill="background1" w:themeFillShade="F2"/>
            <w:tcMar>
              <w:top w:w="90" w:type="dxa"/>
              <w:left w:w="90" w:type="dxa"/>
              <w:bottom w:w="90" w:type="dxa"/>
              <w:right w:w="90" w:type="dxa"/>
            </w:tcMar>
          </w:tcPr>
          <w:p w14:paraId="0CC4BFC2" w14:textId="77777777" w:rsidR="00534283" w:rsidRDefault="00534283" w:rsidP="001543BE">
            <w:pPr>
              <w:pStyle w:val="Normal0"/>
              <w:widowControl w:val="0"/>
              <w:jc w:val="both"/>
              <w:rPr>
                <w:color w:val="000000" w:themeColor="text1"/>
              </w:rPr>
            </w:pPr>
            <w:r w:rsidRPr="34F884E9">
              <w:rPr>
                <w:color w:val="000000" w:themeColor="text1"/>
              </w:rPr>
              <w:t>Un resultado o efecto es estadísticamente significativo cuando es improbable que haya sido debido al azar, es decir, el nivel de confianza es alto. El nivel de confianza se expresa en porcentaje. Un nivel de confianza de X% significa que, si se repitiera 100 veces el experimento, en X de ellos se obtendría el impacto obtenido en este caso. Se indican tres niveles de significatividad, representados por estrellas: resultados con un nivel de confianza del 99% (***), del 95% (**) o del 90% (*). Un resultado no significativo se muestra sin estrellas.</w:t>
            </w:r>
          </w:p>
        </w:tc>
      </w:tr>
      <w:tr w:rsidR="004B6A68" w14:paraId="7AB403FA" w14:textId="77777777" w:rsidTr="001543BE">
        <w:trPr>
          <w:trHeight w:val="405"/>
        </w:trPr>
        <w:tc>
          <w:tcPr>
            <w:tcW w:w="2119"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2F2F2" w:themeFill="background1" w:themeFillShade="F2"/>
            <w:tcMar>
              <w:top w:w="90" w:type="dxa"/>
              <w:left w:w="90" w:type="dxa"/>
              <w:bottom w:w="90" w:type="dxa"/>
              <w:right w:w="90" w:type="dxa"/>
            </w:tcMar>
          </w:tcPr>
          <w:p w14:paraId="30E2AE31" w14:textId="5BBE50F4" w:rsidR="004B6A68" w:rsidRPr="001543BE" w:rsidRDefault="004B6A68" w:rsidP="001543BE">
            <w:pPr>
              <w:pStyle w:val="Normal0"/>
              <w:widowControl w:val="0"/>
              <w:rPr>
                <w:b/>
                <w:bCs/>
              </w:rPr>
            </w:pPr>
            <w:r w:rsidRPr="00AA3645">
              <w:rPr>
                <w:b/>
                <w:bCs/>
              </w:rPr>
              <w:t>Exclusión social</w:t>
            </w:r>
          </w:p>
        </w:tc>
        <w:tc>
          <w:tcPr>
            <w:tcW w:w="6371"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2F2F2" w:themeFill="background1" w:themeFillShade="F2"/>
            <w:tcMar>
              <w:top w:w="90" w:type="dxa"/>
              <w:left w:w="90" w:type="dxa"/>
              <w:bottom w:w="90" w:type="dxa"/>
              <w:right w:w="90" w:type="dxa"/>
            </w:tcMar>
          </w:tcPr>
          <w:p w14:paraId="034149AC" w14:textId="31D0B646" w:rsidR="004B6A68" w:rsidRPr="34F884E9" w:rsidRDefault="004B6A68" w:rsidP="001543BE">
            <w:pPr>
              <w:pStyle w:val="Normal0"/>
              <w:widowControl w:val="0"/>
              <w:jc w:val="both"/>
              <w:rPr>
                <w:color w:val="000000" w:themeColor="text1"/>
              </w:rPr>
            </w:pPr>
            <w:r w:rsidRPr="0068715E">
              <w:t>Situación que afecta a individuos o grupos humanos, impidiéndoles acceder a un nivel de calidad de vida decente, y/o de participar plenamente, según sus propias capacidades, en los procesos de desarrollo</w:t>
            </w:r>
            <w:r w:rsidR="001543BE">
              <w:t>.</w:t>
            </w:r>
          </w:p>
        </w:tc>
      </w:tr>
      <w:tr w:rsidR="001543BE" w14:paraId="02BC5049" w14:textId="77777777" w:rsidTr="001543BE">
        <w:trPr>
          <w:trHeight w:val="405"/>
        </w:trPr>
        <w:tc>
          <w:tcPr>
            <w:tcW w:w="2119"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2F2F2" w:themeFill="background1" w:themeFillShade="F2"/>
            <w:tcMar>
              <w:top w:w="90" w:type="dxa"/>
              <w:left w:w="90" w:type="dxa"/>
              <w:bottom w:w="90" w:type="dxa"/>
              <w:right w:w="90" w:type="dxa"/>
            </w:tcMar>
          </w:tcPr>
          <w:p w14:paraId="2613FD38" w14:textId="4BE631EE" w:rsidR="001543BE" w:rsidRPr="00AA3645" w:rsidRDefault="001543BE" w:rsidP="001543BE">
            <w:pPr>
              <w:pStyle w:val="Normal0"/>
              <w:widowControl w:val="0"/>
              <w:rPr>
                <w:b/>
                <w:bCs/>
              </w:rPr>
            </w:pPr>
            <w:r w:rsidRPr="001543BE">
              <w:rPr>
                <w:b/>
                <w:bCs/>
              </w:rPr>
              <w:t>Grupo de comparación</w:t>
            </w:r>
          </w:p>
        </w:tc>
        <w:tc>
          <w:tcPr>
            <w:tcW w:w="6371"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2F2F2" w:themeFill="background1" w:themeFillShade="F2"/>
            <w:tcMar>
              <w:top w:w="90" w:type="dxa"/>
              <w:left w:w="90" w:type="dxa"/>
              <w:bottom w:w="90" w:type="dxa"/>
              <w:right w:w="90" w:type="dxa"/>
            </w:tcMar>
          </w:tcPr>
          <w:p w14:paraId="67E6223C" w14:textId="1B77A0B0" w:rsidR="001543BE" w:rsidRPr="0068715E" w:rsidRDefault="001543BE" w:rsidP="001543BE">
            <w:pPr>
              <w:pStyle w:val="Normal0"/>
              <w:widowControl w:val="0"/>
              <w:jc w:val="both"/>
            </w:pPr>
            <w:r w:rsidRPr="001543BE">
              <w:t>Aquel que no recibe la intervención o tratamiento que se está estudiando.</w:t>
            </w:r>
          </w:p>
        </w:tc>
      </w:tr>
      <w:tr w:rsidR="001543BE" w14:paraId="544ED0D5" w14:textId="77777777" w:rsidTr="001543BE">
        <w:trPr>
          <w:trHeight w:val="405"/>
        </w:trPr>
        <w:tc>
          <w:tcPr>
            <w:tcW w:w="2119"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2F2F2" w:themeFill="background1" w:themeFillShade="F2"/>
            <w:tcMar>
              <w:top w:w="90" w:type="dxa"/>
              <w:left w:w="90" w:type="dxa"/>
              <w:bottom w:w="90" w:type="dxa"/>
              <w:right w:w="90" w:type="dxa"/>
            </w:tcMar>
          </w:tcPr>
          <w:p w14:paraId="3B5FA0F1" w14:textId="42459A14" w:rsidR="001543BE" w:rsidRPr="00AA3645" w:rsidRDefault="001543BE" w:rsidP="001543BE">
            <w:pPr>
              <w:pStyle w:val="Normal0"/>
              <w:widowControl w:val="0"/>
              <w:rPr>
                <w:b/>
                <w:bCs/>
              </w:rPr>
            </w:pPr>
            <w:r w:rsidRPr="001543BE">
              <w:rPr>
                <w:b/>
                <w:bCs/>
              </w:rPr>
              <w:t>Grupo de intervención</w:t>
            </w:r>
          </w:p>
        </w:tc>
        <w:tc>
          <w:tcPr>
            <w:tcW w:w="6371"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2F2F2" w:themeFill="background1" w:themeFillShade="F2"/>
            <w:tcMar>
              <w:top w:w="90" w:type="dxa"/>
              <w:left w:w="90" w:type="dxa"/>
              <w:bottom w:w="90" w:type="dxa"/>
              <w:right w:w="90" w:type="dxa"/>
            </w:tcMar>
          </w:tcPr>
          <w:p w14:paraId="5EAE004F" w14:textId="0334C8DC" w:rsidR="001543BE" w:rsidRPr="0068715E" w:rsidRDefault="001543BE" w:rsidP="001543BE">
            <w:pPr>
              <w:pStyle w:val="Normal0"/>
              <w:widowControl w:val="0"/>
              <w:jc w:val="both"/>
            </w:pPr>
            <w:r w:rsidRPr="001543BE">
              <w:t>Aquel que recibe la intervención o tratamiento que se está evaluando, a diferencia del grupo de control o comparación que no la recibe.</w:t>
            </w:r>
          </w:p>
        </w:tc>
      </w:tr>
      <w:tr w:rsidR="001543BE" w14:paraId="3D81366D" w14:textId="77777777" w:rsidTr="001543BE">
        <w:trPr>
          <w:trHeight w:val="405"/>
        </w:trPr>
        <w:tc>
          <w:tcPr>
            <w:tcW w:w="2119"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2F2F2" w:themeFill="background1" w:themeFillShade="F2"/>
            <w:tcMar>
              <w:top w:w="90" w:type="dxa"/>
              <w:left w:w="90" w:type="dxa"/>
              <w:bottom w:w="90" w:type="dxa"/>
              <w:right w:w="90" w:type="dxa"/>
            </w:tcMar>
          </w:tcPr>
          <w:p w14:paraId="764AC1AA" w14:textId="3810CA0F" w:rsidR="001543BE" w:rsidRPr="00AA3645" w:rsidRDefault="001543BE" w:rsidP="001543BE">
            <w:pPr>
              <w:pStyle w:val="Normal0"/>
              <w:widowControl w:val="0"/>
              <w:rPr>
                <w:b/>
                <w:bCs/>
                <w:color w:val="000000" w:themeColor="text1"/>
              </w:rPr>
            </w:pPr>
            <w:r w:rsidRPr="00AA3645">
              <w:rPr>
                <w:b/>
                <w:bCs/>
              </w:rPr>
              <w:t>Grupo de reserva</w:t>
            </w:r>
          </w:p>
        </w:tc>
        <w:tc>
          <w:tcPr>
            <w:tcW w:w="6371"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2F2F2" w:themeFill="background1" w:themeFillShade="F2"/>
            <w:tcMar>
              <w:top w:w="90" w:type="dxa"/>
              <w:left w:w="90" w:type="dxa"/>
              <w:bottom w:w="90" w:type="dxa"/>
              <w:right w:w="90" w:type="dxa"/>
            </w:tcMar>
          </w:tcPr>
          <w:p w14:paraId="2CF49191" w14:textId="77247C42" w:rsidR="001543BE" w:rsidRPr="34F884E9" w:rsidRDefault="001543BE" w:rsidP="001543BE">
            <w:pPr>
              <w:pStyle w:val="Normal0"/>
              <w:widowControl w:val="0"/>
              <w:jc w:val="both"/>
              <w:rPr>
                <w:color w:val="000000" w:themeColor="text1"/>
              </w:rPr>
            </w:pPr>
            <w:r w:rsidRPr="00536B55">
              <w:t>Grupo de familias que fueron asignadas a una lista de reserva para sustituir a las familias en el grupo titular en caso de abandono del proyecto al inicio del mismo.</w:t>
            </w:r>
          </w:p>
        </w:tc>
      </w:tr>
      <w:tr w:rsidR="001543BE" w14:paraId="6ABBDE0D" w14:textId="77777777" w:rsidTr="001543BE">
        <w:trPr>
          <w:trHeight w:val="405"/>
        </w:trPr>
        <w:tc>
          <w:tcPr>
            <w:tcW w:w="2119"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2F2F2" w:themeFill="background1" w:themeFillShade="F2"/>
            <w:tcMar>
              <w:top w:w="90" w:type="dxa"/>
              <w:left w:w="90" w:type="dxa"/>
              <w:bottom w:w="90" w:type="dxa"/>
              <w:right w:w="90" w:type="dxa"/>
            </w:tcMar>
          </w:tcPr>
          <w:p w14:paraId="4C90452B" w14:textId="4DBFF5DF" w:rsidR="001543BE" w:rsidRPr="00AA3645" w:rsidRDefault="001543BE" w:rsidP="001543BE">
            <w:pPr>
              <w:pStyle w:val="Normal0"/>
              <w:widowControl w:val="0"/>
              <w:rPr>
                <w:b/>
                <w:bCs/>
                <w:color w:val="000000" w:themeColor="text1"/>
              </w:rPr>
            </w:pPr>
            <w:r w:rsidRPr="00AA3645">
              <w:rPr>
                <w:b/>
                <w:bCs/>
              </w:rPr>
              <w:lastRenderedPageBreak/>
              <w:t>Grupo titular</w:t>
            </w:r>
          </w:p>
        </w:tc>
        <w:tc>
          <w:tcPr>
            <w:tcW w:w="6371"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2F2F2" w:themeFill="background1" w:themeFillShade="F2"/>
            <w:tcMar>
              <w:top w:w="90" w:type="dxa"/>
              <w:left w:w="90" w:type="dxa"/>
              <w:bottom w:w="90" w:type="dxa"/>
              <w:right w:w="90" w:type="dxa"/>
            </w:tcMar>
          </w:tcPr>
          <w:p w14:paraId="55BA64DA" w14:textId="58485CA1" w:rsidR="001543BE" w:rsidRPr="34F884E9" w:rsidRDefault="001543BE" w:rsidP="001543BE">
            <w:pPr>
              <w:pStyle w:val="Normal0"/>
              <w:widowControl w:val="0"/>
              <w:jc w:val="both"/>
              <w:rPr>
                <w:color w:val="000000" w:themeColor="text1"/>
              </w:rPr>
            </w:pPr>
            <w:r w:rsidRPr="00536B55">
              <w:t xml:space="preserve">Grupo de familias que fueron inicialmente asignadas aleatoriamente al grupo de intervención o comparación y que podrían ser sustituidas por familias en el grupo de reserva en caso de abandonar el proyecto al inicio del mismo. </w:t>
            </w:r>
          </w:p>
        </w:tc>
      </w:tr>
      <w:tr w:rsidR="001543BE" w14:paraId="282F3F8F" w14:textId="77777777" w:rsidTr="001543BE">
        <w:trPr>
          <w:trHeight w:val="405"/>
        </w:trPr>
        <w:tc>
          <w:tcPr>
            <w:tcW w:w="2119"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2F2F2" w:themeFill="background1" w:themeFillShade="F2"/>
            <w:tcMar>
              <w:top w:w="90" w:type="dxa"/>
              <w:left w:w="90" w:type="dxa"/>
              <w:bottom w:w="90" w:type="dxa"/>
              <w:right w:w="90" w:type="dxa"/>
            </w:tcMar>
          </w:tcPr>
          <w:p w14:paraId="7C79D49A" w14:textId="5914F31F" w:rsidR="001543BE" w:rsidRPr="00AA3645" w:rsidRDefault="001543BE" w:rsidP="001543BE">
            <w:pPr>
              <w:pStyle w:val="Normal0"/>
              <w:widowControl w:val="0"/>
              <w:rPr>
                <w:b/>
                <w:bCs/>
              </w:rPr>
            </w:pPr>
            <w:r w:rsidRPr="001543BE">
              <w:rPr>
                <w:b/>
                <w:bCs/>
              </w:rPr>
              <w:t>Índice de competencias digitales</w:t>
            </w:r>
          </w:p>
        </w:tc>
        <w:tc>
          <w:tcPr>
            <w:tcW w:w="6371"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2F2F2" w:themeFill="background1" w:themeFillShade="F2"/>
            <w:tcMar>
              <w:top w:w="90" w:type="dxa"/>
              <w:left w:w="90" w:type="dxa"/>
              <w:bottom w:w="90" w:type="dxa"/>
              <w:right w:w="90" w:type="dxa"/>
            </w:tcMar>
          </w:tcPr>
          <w:p w14:paraId="68DE033E" w14:textId="12651DD0" w:rsidR="001543BE" w:rsidRPr="00536B55" w:rsidRDefault="001543BE" w:rsidP="00F1673B">
            <w:pPr>
              <w:jc w:val="both"/>
            </w:pPr>
            <w:r>
              <w:t>In</w:t>
            </w:r>
            <w:r w:rsidRPr="001543BE">
              <w:t>dicador compuesto que mide el nivel de conocimientos en el uso de herramientas digitales. La definición concreta de sus componentes varía según el proyecto.</w:t>
            </w:r>
          </w:p>
        </w:tc>
      </w:tr>
      <w:tr w:rsidR="001543BE" w14:paraId="15C719EC" w14:textId="77777777" w:rsidTr="001543BE">
        <w:trPr>
          <w:trHeight w:val="3724"/>
        </w:trPr>
        <w:tc>
          <w:tcPr>
            <w:tcW w:w="2119"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2F2F2" w:themeFill="background1" w:themeFillShade="F2"/>
            <w:tcMar>
              <w:top w:w="90" w:type="dxa"/>
              <w:left w:w="90" w:type="dxa"/>
              <w:bottom w:w="90" w:type="dxa"/>
              <w:right w:w="90" w:type="dxa"/>
            </w:tcMar>
          </w:tcPr>
          <w:p w14:paraId="540F3E0A" w14:textId="2D5BBA2E" w:rsidR="001543BE" w:rsidRPr="00AA3645" w:rsidRDefault="001543BE" w:rsidP="001543BE">
            <w:pPr>
              <w:pStyle w:val="Normal0"/>
              <w:widowControl w:val="0"/>
              <w:rPr>
                <w:b/>
                <w:bCs/>
              </w:rPr>
            </w:pPr>
            <w:r w:rsidRPr="00AA3645">
              <w:rPr>
                <w:b/>
                <w:bCs/>
              </w:rPr>
              <w:t xml:space="preserve">Indicador AROPE  </w:t>
            </w:r>
          </w:p>
        </w:tc>
        <w:tc>
          <w:tcPr>
            <w:tcW w:w="6371"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2F2F2" w:themeFill="background1" w:themeFillShade="F2"/>
            <w:tcMar>
              <w:top w:w="90" w:type="dxa"/>
              <w:left w:w="90" w:type="dxa"/>
              <w:bottom w:w="90" w:type="dxa"/>
              <w:right w:w="90" w:type="dxa"/>
            </w:tcMar>
          </w:tcPr>
          <w:p w14:paraId="67CBF01B" w14:textId="6991CCB7" w:rsidR="001543BE" w:rsidRPr="00536B55" w:rsidRDefault="001543BE" w:rsidP="001543BE">
            <w:pPr>
              <w:pStyle w:val="Normal0"/>
              <w:jc w:val="both"/>
            </w:pPr>
            <w:r>
              <w:t xml:space="preserve">La población en riesgo de pobreza o exclusión social está definida según unos criterios establecidos por </w:t>
            </w:r>
            <w:proofErr w:type="spellStart"/>
            <w:r>
              <w:t>Eurostat</w:t>
            </w:r>
            <w:proofErr w:type="spellEnd"/>
            <w:r>
              <w:t xml:space="preserve">. Es aquella población que está al menos en alguna de estas tres situaciones: (1) En riesgo de pobreza (ingresos equivalentes por debajo del 60% de la mediana de ingresos por unidad de consumo). (2) En carencia material y social severa (si declara tener carencia en al menos siete elementos de los 13 de una lista que incluye, por ejemplo, no poder permitirse una comida de carne, pollo o pescado al menos cada dos días, mantener la vivienda con una temperatura adecuada, tener dos pares de zapatos en buenas condiciones o sustituir ropa estropeada por otra nueva). (3) En hogares sin empleo o con baja intensidad en el empleo (hogares en los que sus miembros en edad de trabajar lo hicieron menos del 20% del total de su potencial de trabajo durante el año anterior al de la entrevista).   </w:t>
            </w:r>
          </w:p>
        </w:tc>
      </w:tr>
      <w:tr w:rsidR="001543BE" w14:paraId="0E538B5C" w14:textId="77777777" w:rsidTr="001543BE">
        <w:trPr>
          <w:trHeight w:val="731"/>
        </w:trPr>
        <w:tc>
          <w:tcPr>
            <w:tcW w:w="2119"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2F2F2" w:themeFill="background1" w:themeFillShade="F2"/>
            <w:tcMar>
              <w:top w:w="90" w:type="dxa"/>
              <w:left w:w="90" w:type="dxa"/>
              <w:bottom w:w="90" w:type="dxa"/>
              <w:right w:w="90" w:type="dxa"/>
            </w:tcMar>
          </w:tcPr>
          <w:p w14:paraId="521C4849" w14:textId="75901486" w:rsidR="001543BE" w:rsidRPr="00AA3645" w:rsidRDefault="001543BE" w:rsidP="001543BE">
            <w:pPr>
              <w:pStyle w:val="Normal0"/>
              <w:widowControl w:val="0"/>
              <w:rPr>
                <w:b/>
                <w:bCs/>
              </w:rPr>
            </w:pPr>
            <w:r w:rsidRPr="001543BE">
              <w:rPr>
                <w:b/>
                <w:bCs/>
              </w:rPr>
              <w:t>Indicador de satisfacción vital</w:t>
            </w:r>
          </w:p>
        </w:tc>
        <w:tc>
          <w:tcPr>
            <w:tcW w:w="6371"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2F2F2" w:themeFill="background1" w:themeFillShade="F2"/>
            <w:tcMar>
              <w:top w:w="90" w:type="dxa"/>
              <w:left w:w="90" w:type="dxa"/>
              <w:bottom w:w="90" w:type="dxa"/>
              <w:right w:w="90" w:type="dxa"/>
            </w:tcMar>
          </w:tcPr>
          <w:p w14:paraId="220E0145" w14:textId="655AA108" w:rsidR="001543BE" w:rsidRDefault="001543BE" w:rsidP="00F1673B">
            <w:pPr>
              <w:pStyle w:val="Normal0"/>
              <w:jc w:val="both"/>
            </w:pPr>
            <w:r>
              <w:t>I</w:t>
            </w:r>
            <w:r w:rsidRPr="001543BE">
              <w:t>ndicador compuesto que mide la satisfa</w:t>
            </w:r>
            <w:r>
              <w:t>cción vital a partir de diversa</w:t>
            </w:r>
            <w:r w:rsidR="00F1673B">
              <w:t>s</w:t>
            </w:r>
            <w:r w:rsidRPr="001543BE">
              <w:t xml:space="preserve"> dimensi</w:t>
            </w:r>
            <w:r w:rsidR="00F1673B">
              <w:t>ones</w:t>
            </w:r>
            <w:bookmarkStart w:id="0" w:name="_GoBack"/>
            <w:bookmarkEnd w:id="0"/>
            <w:r w:rsidRPr="001543BE">
              <w:t>. La definición concreta de sus componentes varía según el proyecto</w:t>
            </w:r>
            <w:r>
              <w:t>.</w:t>
            </w:r>
          </w:p>
        </w:tc>
      </w:tr>
      <w:tr w:rsidR="001543BE" w14:paraId="437AF456" w14:textId="77777777" w:rsidTr="001543BE">
        <w:trPr>
          <w:trHeight w:val="405"/>
        </w:trPr>
        <w:tc>
          <w:tcPr>
            <w:tcW w:w="2119"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2F2F2" w:themeFill="background1" w:themeFillShade="F2"/>
            <w:tcMar>
              <w:top w:w="90" w:type="dxa"/>
              <w:left w:w="90" w:type="dxa"/>
              <w:bottom w:w="90" w:type="dxa"/>
              <w:right w:w="90" w:type="dxa"/>
            </w:tcMar>
          </w:tcPr>
          <w:p w14:paraId="21BC8D02" w14:textId="70291A3F" w:rsidR="001543BE" w:rsidRPr="00AA3645" w:rsidRDefault="001543BE" w:rsidP="001543BE">
            <w:pPr>
              <w:pStyle w:val="Normal0"/>
              <w:widowControl w:val="0"/>
              <w:rPr>
                <w:b/>
                <w:bCs/>
              </w:rPr>
            </w:pPr>
            <w:r w:rsidRPr="00AA3645">
              <w:rPr>
                <w:b/>
                <w:bCs/>
              </w:rPr>
              <w:t>Nodo censal</w:t>
            </w:r>
          </w:p>
        </w:tc>
        <w:tc>
          <w:tcPr>
            <w:tcW w:w="6371"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2F2F2" w:themeFill="background1" w:themeFillShade="F2"/>
            <w:tcMar>
              <w:top w:w="90" w:type="dxa"/>
              <w:left w:w="90" w:type="dxa"/>
              <w:bottom w:w="90" w:type="dxa"/>
              <w:right w:w="90" w:type="dxa"/>
            </w:tcMar>
          </w:tcPr>
          <w:p w14:paraId="597A4A23" w14:textId="73E0DAEB" w:rsidR="001543BE" w:rsidRPr="009B068A" w:rsidRDefault="001543BE" w:rsidP="001543BE">
            <w:pPr>
              <w:pStyle w:val="Normal0"/>
              <w:jc w:val="both"/>
            </w:pPr>
            <w:r w:rsidRPr="00905265">
              <w:t>Un nodo censal es una sección censal que cuenta con la presencia de centros o espacios comunitarios (comedores sociales; centros de atención social; centros de días; albergues; centros de culto; centro de acogida de mujeres y familias; locales de entidades sociales; espacios polivalente municipales; asociaciones de vecinos y vecinas), de tal forma que sirvan como puntos de referencia para identificar a la población potencialmente participante.</w:t>
            </w:r>
          </w:p>
        </w:tc>
      </w:tr>
      <w:tr w:rsidR="001543BE" w14:paraId="02BFD0B4" w14:textId="77777777" w:rsidTr="001543BE">
        <w:trPr>
          <w:trHeight w:val="405"/>
        </w:trPr>
        <w:tc>
          <w:tcPr>
            <w:tcW w:w="2119"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2F2F2" w:themeFill="background1" w:themeFillShade="F2"/>
            <w:tcMar>
              <w:top w:w="90" w:type="dxa"/>
              <w:left w:w="90" w:type="dxa"/>
              <w:bottom w:w="90" w:type="dxa"/>
              <w:right w:w="90" w:type="dxa"/>
            </w:tcMar>
          </w:tcPr>
          <w:p w14:paraId="264367E0" w14:textId="647DDDCD" w:rsidR="001543BE" w:rsidRPr="00AA3645" w:rsidRDefault="001543BE" w:rsidP="001543BE">
            <w:pPr>
              <w:pStyle w:val="Normal0"/>
              <w:widowControl w:val="0"/>
              <w:rPr>
                <w:b/>
                <w:bCs/>
              </w:rPr>
            </w:pPr>
            <w:r w:rsidRPr="00AA3645">
              <w:rPr>
                <w:b/>
                <w:bCs/>
              </w:rPr>
              <w:t>Población activa</w:t>
            </w:r>
          </w:p>
        </w:tc>
        <w:tc>
          <w:tcPr>
            <w:tcW w:w="6371"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2F2F2" w:themeFill="background1" w:themeFillShade="F2"/>
            <w:tcMar>
              <w:top w:w="90" w:type="dxa"/>
              <w:left w:w="90" w:type="dxa"/>
              <w:bottom w:w="90" w:type="dxa"/>
              <w:right w:w="90" w:type="dxa"/>
            </w:tcMar>
          </w:tcPr>
          <w:p w14:paraId="02F4C1EA" w14:textId="4BB2FB02" w:rsidR="001543BE" w:rsidRDefault="001543BE" w:rsidP="001543BE">
            <w:pPr>
              <w:pStyle w:val="Normal0"/>
              <w:jc w:val="both"/>
            </w:pPr>
            <w:r w:rsidRPr="009B068A">
              <w:t>Aquellas personas que no tienen trabajo y que han estado buscando un empleo activamente durante al menos doce meses.</w:t>
            </w:r>
          </w:p>
        </w:tc>
      </w:tr>
      <w:tr w:rsidR="001543BE" w14:paraId="28A1E9CE" w14:textId="77777777" w:rsidTr="001543BE">
        <w:trPr>
          <w:trHeight w:val="405"/>
        </w:trPr>
        <w:tc>
          <w:tcPr>
            <w:tcW w:w="2119"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2F2F2" w:themeFill="background1" w:themeFillShade="F2"/>
            <w:tcMar>
              <w:top w:w="90" w:type="dxa"/>
              <w:left w:w="90" w:type="dxa"/>
              <w:bottom w:w="90" w:type="dxa"/>
              <w:right w:w="90" w:type="dxa"/>
            </w:tcMar>
          </w:tcPr>
          <w:p w14:paraId="752FE946" w14:textId="77777777" w:rsidR="001543BE" w:rsidRPr="00AA3645" w:rsidRDefault="001543BE" w:rsidP="001543BE">
            <w:pPr>
              <w:pStyle w:val="Normal0"/>
              <w:widowControl w:val="0"/>
              <w:rPr>
                <w:b/>
                <w:bCs/>
              </w:rPr>
            </w:pPr>
            <w:r w:rsidRPr="00AA3645">
              <w:rPr>
                <w:b/>
                <w:bCs/>
              </w:rPr>
              <w:t>Sinhogarismo</w:t>
            </w:r>
          </w:p>
        </w:tc>
        <w:tc>
          <w:tcPr>
            <w:tcW w:w="6371"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2F2F2" w:themeFill="background1" w:themeFillShade="F2"/>
            <w:tcMar>
              <w:top w:w="90" w:type="dxa"/>
              <w:left w:w="90" w:type="dxa"/>
              <w:bottom w:w="90" w:type="dxa"/>
              <w:right w:w="90" w:type="dxa"/>
            </w:tcMar>
          </w:tcPr>
          <w:p w14:paraId="4A1527BA" w14:textId="77777777" w:rsidR="001543BE" w:rsidRDefault="001543BE" w:rsidP="001543BE">
            <w:pPr>
              <w:pStyle w:val="Normal0"/>
              <w:jc w:val="both"/>
            </w:pPr>
            <w:r>
              <w:t>​</w:t>
            </w:r>
            <w:r w:rsidRPr="34F884E9">
              <w:rPr>
                <w:color w:val="040C28"/>
              </w:rPr>
              <w:t>Circunstancia de la persona que carece de hogar donde vivir y, generalmente, de cualquier medio de vida</w:t>
            </w:r>
            <w:r w:rsidRPr="34F884E9">
              <w:rPr>
                <w:color w:val="1F1F1F"/>
              </w:rPr>
              <w:t>.</w:t>
            </w:r>
          </w:p>
        </w:tc>
      </w:tr>
      <w:tr w:rsidR="001543BE" w14:paraId="1C60EF6B" w14:textId="77777777" w:rsidTr="001543BE">
        <w:trPr>
          <w:trHeight w:val="405"/>
        </w:trPr>
        <w:tc>
          <w:tcPr>
            <w:tcW w:w="2119"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2F2F2" w:themeFill="background1" w:themeFillShade="F2"/>
            <w:tcMar>
              <w:top w:w="90" w:type="dxa"/>
              <w:left w:w="90" w:type="dxa"/>
              <w:bottom w:w="90" w:type="dxa"/>
              <w:right w:w="90" w:type="dxa"/>
            </w:tcMar>
          </w:tcPr>
          <w:p w14:paraId="264303E0" w14:textId="2D7B9A7E" w:rsidR="001543BE" w:rsidRPr="00DE0FC3" w:rsidRDefault="001543BE" w:rsidP="001543BE">
            <w:pPr>
              <w:pStyle w:val="Normal0"/>
              <w:widowControl w:val="0"/>
              <w:rPr>
                <w:b/>
                <w:bCs/>
                <w:i/>
              </w:rPr>
            </w:pPr>
            <w:proofErr w:type="spellStart"/>
            <w:r w:rsidRPr="00DE0FC3">
              <w:rPr>
                <w:b/>
                <w:bCs/>
                <w:i/>
              </w:rPr>
              <w:t>Take</w:t>
            </w:r>
            <w:proofErr w:type="spellEnd"/>
            <w:r w:rsidRPr="00DE0FC3">
              <w:rPr>
                <w:b/>
                <w:bCs/>
                <w:i/>
              </w:rPr>
              <w:t>-up</w:t>
            </w:r>
          </w:p>
        </w:tc>
        <w:tc>
          <w:tcPr>
            <w:tcW w:w="6371"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2F2F2" w:themeFill="background1" w:themeFillShade="F2"/>
            <w:tcMar>
              <w:top w:w="90" w:type="dxa"/>
              <w:left w:w="90" w:type="dxa"/>
              <w:bottom w:w="90" w:type="dxa"/>
              <w:right w:w="90" w:type="dxa"/>
            </w:tcMar>
          </w:tcPr>
          <w:p w14:paraId="73F86C55" w14:textId="79E2AE22" w:rsidR="001543BE" w:rsidRDefault="001543BE" w:rsidP="001543BE">
            <w:pPr>
              <w:pStyle w:val="Normal0"/>
              <w:jc w:val="both"/>
            </w:pPr>
            <w:r w:rsidRPr="00577766">
              <w:t>Grado de acceso a un programa o ayuda por sus potenciales beneficiarios.</w:t>
            </w:r>
          </w:p>
        </w:tc>
      </w:tr>
      <w:tr w:rsidR="001543BE" w14:paraId="77C98566" w14:textId="77777777" w:rsidTr="001543BE">
        <w:trPr>
          <w:trHeight w:val="300"/>
        </w:trPr>
        <w:tc>
          <w:tcPr>
            <w:tcW w:w="2119"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2F2F2" w:themeFill="background1" w:themeFillShade="F2"/>
            <w:tcMar>
              <w:top w:w="90" w:type="dxa"/>
              <w:left w:w="90" w:type="dxa"/>
              <w:bottom w:w="90" w:type="dxa"/>
              <w:right w:w="90" w:type="dxa"/>
            </w:tcMar>
          </w:tcPr>
          <w:p w14:paraId="15EA4694" w14:textId="56EEF3B1" w:rsidR="001543BE" w:rsidRDefault="001543BE" w:rsidP="001543BE">
            <w:pPr>
              <w:pStyle w:val="Normal0"/>
              <w:jc w:val="both"/>
              <w:rPr>
                <w:b/>
                <w:bCs/>
              </w:rPr>
            </w:pPr>
            <w:r w:rsidRPr="2BA4E756">
              <w:rPr>
                <w:b/>
                <w:bCs/>
              </w:rPr>
              <w:t>Ventanilla única</w:t>
            </w:r>
          </w:p>
        </w:tc>
        <w:tc>
          <w:tcPr>
            <w:tcW w:w="6371"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2F2F2" w:themeFill="background1" w:themeFillShade="F2"/>
            <w:tcMar>
              <w:top w:w="90" w:type="dxa"/>
              <w:left w:w="90" w:type="dxa"/>
              <w:bottom w:w="90" w:type="dxa"/>
              <w:right w:w="90" w:type="dxa"/>
            </w:tcMar>
          </w:tcPr>
          <w:p w14:paraId="329D7B06" w14:textId="1F717F31" w:rsidR="001543BE" w:rsidRDefault="001543BE" w:rsidP="001543BE">
            <w:pPr>
              <w:pStyle w:val="Normal0"/>
              <w:jc w:val="both"/>
            </w:pPr>
            <w:r>
              <w:t>Prestación integrada de servicios sociales, laborales y de otros ámbitos en forma de puntos de contacto para los usuarios.</w:t>
            </w:r>
          </w:p>
        </w:tc>
      </w:tr>
    </w:tbl>
    <w:p w14:paraId="66935881" w14:textId="7D71F7BB" w:rsidR="00534283" w:rsidRDefault="00534283" w:rsidP="00534283">
      <w:pPr>
        <w:pStyle w:val="Normal0"/>
        <w:spacing w:line="240" w:lineRule="auto"/>
        <w:jc w:val="both"/>
      </w:pPr>
    </w:p>
    <w:p w14:paraId="66C04E84" w14:textId="77777777" w:rsidR="009D576C" w:rsidRDefault="009D576C"/>
    <w:sectPr w:rsidR="009D576C" w:rsidSect="00534283">
      <w:headerReference w:type="default" r:id="rId10"/>
      <w:footerReference w:type="default" r:id="rId11"/>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EEFBBF" w14:textId="77777777" w:rsidR="000C5CC4" w:rsidRDefault="000C5CC4">
      <w:pPr>
        <w:spacing w:after="0" w:line="240" w:lineRule="auto"/>
      </w:pPr>
      <w:r>
        <w:separator/>
      </w:r>
    </w:p>
  </w:endnote>
  <w:endnote w:type="continuationSeparator" w:id="0">
    <w:p w14:paraId="2775DA94" w14:textId="77777777" w:rsidR="000C5CC4" w:rsidRDefault="000C5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1A577A" w14:textId="77777777" w:rsidR="00212CD1" w:rsidRDefault="00212CD1">
    <w:pPr>
      <w:pStyle w:val="Normal0"/>
      <w:jc w:val="right"/>
    </w:pPr>
  </w:p>
  <w:p w14:paraId="219AB19F" w14:textId="77777777" w:rsidR="00212CD1" w:rsidRDefault="00212CD1">
    <w:pPr>
      <w:pStyle w:val="Normal0"/>
    </w:pPr>
  </w:p>
  <w:p w14:paraId="469CF37C" w14:textId="24F33571" w:rsidR="00212CD1" w:rsidRDefault="002A6A39">
    <w:pPr>
      <w:pStyle w:val="Normal0"/>
      <w:jc w:val="right"/>
    </w:pPr>
    <w:r>
      <w:fldChar w:fldCharType="begin"/>
    </w:r>
    <w:r>
      <w:instrText>PAGE</w:instrText>
    </w:r>
    <w:r>
      <w:fldChar w:fldCharType="separate"/>
    </w:r>
    <w:r w:rsidR="00F1673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BA48AB" w14:textId="77777777" w:rsidR="000C5CC4" w:rsidRDefault="000C5CC4">
      <w:pPr>
        <w:spacing w:after="0" w:line="240" w:lineRule="auto"/>
      </w:pPr>
      <w:r>
        <w:separator/>
      </w:r>
    </w:p>
  </w:footnote>
  <w:footnote w:type="continuationSeparator" w:id="0">
    <w:p w14:paraId="0B3CB4BA" w14:textId="77777777" w:rsidR="000C5CC4" w:rsidRDefault="000C5C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B73072" w14:textId="77777777" w:rsidR="00212CD1" w:rsidRDefault="00212CD1">
    <w:pPr>
      <w:pStyle w:val="Normal0"/>
    </w:pPr>
  </w:p>
  <w:p w14:paraId="37CA4840" w14:textId="77777777" w:rsidR="00212CD1" w:rsidRDefault="00212CD1">
    <w:pPr>
      <w:pStyle w:val="Normal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C090A"/>
    <w:multiLevelType w:val="hybridMultilevel"/>
    <w:tmpl w:val="DD5248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DAE7E49"/>
    <w:multiLevelType w:val="multilevel"/>
    <w:tmpl w:val="2CEA72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CB0071C"/>
    <w:multiLevelType w:val="hybridMultilevel"/>
    <w:tmpl w:val="EE26B376"/>
    <w:lvl w:ilvl="0" w:tplc="F2509EC0">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283"/>
    <w:rsid w:val="00010E73"/>
    <w:rsid w:val="000B2CC6"/>
    <w:rsid w:val="000C5CC4"/>
    <w:rsid w:val="000E0447"/>
    <w:rsid w:val="001543BE"/>
    <w:rsid w:val="00212CD1"/>
    <w:rsid w:val="00253CC9"/>
    <w:rsid w:val="002A6A39"/>
    <w:rsid w:val="003E6000"/>
    <w:rsid w:val="00425987"/>
    <w:rsid w:val="004B6A68"/>
    <w:rsid w:val="005008F7"/>
    <w:rsid w:val="005126EF"/>
    <w:rsid w:val="00522CF3"/>
    <w:rsid w:val="00534283"/>
    <w:rsid w:val="0055717C"/>
    <w:rsid w:val="00571E09"/>
    <w:rsid w:val="006A53A5"/>
    <w:rsid w:val="00740A35"/>
    <w:rsid w:val="00775D41"/>
    <w:rsid w:val="0077671A"/>
    <w:rsid w:val="00792B06"/>
    <w:rsid w:val="007B3C5D"/>
    <w:rsid w:val="007C12ED"/>
    <w:rsid w:val="00892A10"/>
    <w:rsid w:val="008C579B"/>
    <w:rsid w:val="008E2FA5"/>
    <w:rsid w:val="0092203C"/>
    <w:rsid w:val="00986510"/>
    <w:rsid w:val="009D1CA1"/>
    <w:rsid w:val="009D576C"/>
    <w:rsid w:val="00A40A53"/>
    <w:rsid w:val="00A60F05"/>
    <w:rsid w:val="00A74927"/>
    <w:rsid w:val="00AA3645"/>
    <w:rsid w:val="00B0213D"/>
    <w:rsid w:val="00C66213"/>
    <w:rsid w:val="00C871BC"/>
    <w:rsid w:val="00D34451"/>
    <w:rsid w:val="00D567BA"/>
    <w:rsid w:val="00DE0FC3"/>
    <w:rsid w:val="00EE1ECA"/>
    <w:rsid w:val="00F14DE4"/>
    <w:rsid w:val="00F1673B"/>
    <w:rsid w:val="00FA7984"/>
    <w:rsid w:val="00FB472B"/>
    <w:rsid w:val="00FF6381"/>
    <w:rsid w:val="109ED228"/>
    <w:rsid w:val="2BA4E756"/>
    <w:rsid w:val="33A950B1"/>
    <w:rsid w:val="75CF976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8F85C"/>
  <w15:chartTrackingRefBased/>
  <w15:docId w15:val="{AE17F15A-3422-4D1D-BF6F-99F84E20E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3BE"/>
    <w:rPr>
      <w:rFonts w:ascii="Calibri" w:eastAsia="Calibri" w:hAnsi="Calibri" w:cs="Calibri"/>
      <w:kern w:val="0"/>
      <w:lang w:eastAsia="ja-JP"/>
    </w:rPr>
  </w:style>
  <w:style w:type="paragraph" w:styleId="Ttulo1">
    <w:name w:val="heading 1"/>
    <w:basedOn w:val="Normal"/>
    <w:next w:val="Normal"/>
    <w:link w:val="Ttulo1Car"/>
    <w:uiPriority w:val="9"/>
    <w:qFormat/>
    <w:rsid w:val="0053428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53428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534283"/>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534283"/>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534283"/>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53428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3428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3428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3428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34283"/>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534283"/>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534283"/>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534283"/>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534283"/>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53428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3428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3428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34283"/>
    <w:rPr>
      <w:rFonts w:eastAsiaTheme="majorEastAsia" w:cstheme="majorBidi"/>
      <w:color w:val="272727" w:themeColor="text1" w:themeTint="D8"/>
    </w:rPr>
  </w:style>
  <w:style w:type="paragraph" w:styleId="Ttulo">
    <w:name w:val="Title"/>
    <w:basedOn w:val="Normal"/>
    <w:next w:val="Normal"/>
    <w:link w:val="TtuloCar"/>
    <w:uiPriority w:val="10"/>
    <w:qFormat/>
    <w:rsid w:val="005342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3428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3428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3428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34283"/>
    <w:pPr>
      <w:spacing w:before="160"/>
      <w:jc w:val="center"/>
    </w:pPr>
    <w:rPr>
      <w:i/>
      <w:iCs/>
      <w:color w:val="404040" w:themeColor="text1" w:themeTint="BF"/>
    </w:rPr>
  </w:style>
  <w:style w:type="character" w:customStyle="1" w:styleId="CitaCar">
    <w:name w:val="Cita Car"/>
    <w:basedOn w:val="Fuentedeprrafopredeter"/>
    <w:link w:val="Cita"/>
    <w:uiPriority w:val="29"/>
    <w:rsid w:val="00534283"/>
    <w:rPr>
      <w:i/>
      <w:iCs/>
      <w:color w:val="404040" w:themeColor="text1" w:themeTint="BF"/>
    </w:rPr>
  </w:style>
  <w:style w:type="paragraph" w:styleId="Prrafodelista">
    <w:name w:val="List Paragraph"/>
    <w:basedOn w:val="Normal"/>
    <w:uiPriority w:val="34"/>
    <w:qFormat/>
    <w:rsid w:val="00534283"/>
    <w:pPr>
      <w:ind w:left="720"/>
      <w:contextualSpacing/>
    </w:pPr>
  </w:style>
  <w:style w:type="character" w:styleId="nfasisintenso">
    <w:name w:val="Intense Emphasis"/>
    <w:basedOn w:val="Fuentedeprrafopredeter"/>
    <w:uiPriority w:val="21"/>
    <w:qFormat/>
    <w:rsid w:val="00534283"/>
    <w:rPr>
      <w:i/>
      <w:iCs/>
      <w:color w:val="2F5496" w:themeColor="accent1" w:themeShade="BF"/>
    </w:rPr>
  </w:style>
  <w:style w:type="paragraph" w:styleId="Citadestacada">
    <w:name w:val="Intense Quote"/>
    <w:basedOn w:val="Normal"/>
    <w:next w:val="Normal"/>
    <w:link w:val="CitadestacadaCar"/>
    <w:uiPriority w:val="30"/>
    <w:qFormat/>
    <w:rsid w:val="005342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534283"/>
    <w:rPr>
      <w:i/>
      <w:iCs/>
      <w:color w:val="2F5496" w:themeColor="accent1" w:themeShade="BF"/>
    </w:rPr>
  </w:style>
  <w:style w:type="character" w:styleId="Referenciaintensa">
    <w:name w:val="Intense Reference"/>
    <w:basedOn w:val="Fuentedeprrafopredeter"/>
    <w:uiPriority w:val="32"/>
    <w:qFormat/>
    <w:rsid w:val="00534283"/>
    <w:rPr>
      <w:b/>
      <w:bCs/>
      <w:smallCaps/>
      <w:color w:val="2F5496" w:themeColor="accent1" w:themeShade="BF"/>
      <w:spacing w:val="5"/>
    </w:rPr>
  </w:style>
  <w:style w:type="paragraph" w:customStyle="1" w:styleId="Normal0">
    <w:name w:val="Normal0"/>
    <w:qFormat/>
    <w:rsid w:val="00534283"/>
    <w:rPr>
      <w:rFonts w:ascii="Calibri" w:eastAsia="Calibri" w:hAnsi="Calibri" w:cs="Calibri"/>
      <w:kern w:val="0"/>
      <w:lang w:eastAsia="ja-JP"/>
    </w:rPr>
  </w:style>
  <w:style w:type="table" w:styleId="Tablaconcuadrcula">
    <w:name w:val="Table Grid"/>
    <w:basedOn w:val="Tablanormal"/>
    <w:uiPriority w:val="39"/>
    <w:rsid w:val="00534283"/>
    <w:pPr>
      <w:spacing w:after="0" w:line="240" w:lineRule="auto"/>
    </w:pPr>
    <w:rPr>
      <w:rFonts w:ascii="Calibri" w:eastAsia="Calibri" w:hAnsi="Calibri" w:cs="Calibri"/>
      <w:kern w:val="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1147172">
      <w:bodyDiv w:val="1"/>
      <w:marLeft w:val="0"/>
      <w:marRight w:val="0"/>
      <w:marTop w:val="0"/>
      <w:marBottom w:val="0"/>
      <w:divBdr>
        <w:top w:val="none" w:sz="0" w:space="0" w:color="auto"/>
        <w:left w:val="none" w:sz="0" w:space="0" w:color="auto"/>
        <w:bottom w:val="none" w:sz="0" w:space="0" w:color="auto"/>
        <w:right w:val="none" w:sz="0" w:space="0" w:color="auto"/>
      </w:divBdr>
    </w:div>
    <w:div w:id="1212155088">
      <w:bodyDiv w:val="1"/>
      <w:marLeft w:val="0"/>
      <w:marRight w:val="0"/>
      <w:marTop w:val="0"/>
      <w:marBottom w:val="0"/>
      <w:divBdr>
        <w:top w:val="none" w:sz="0" w:space="0" w:color="auto"/>
        <w:left w:val="none" w:sz="0" w:space="0" w:color="auto"/>
        <w:bottom w:val="none" w:sz="0" w:space="0" w:color="auto"/>
        <w:right w:val="none" w:sz="0" w:space="0" w:color="auto"/>
      </w:divBdr>
    </w:div>
    <w:div w:id="1303997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8BE28A5F652B54796DC01672C62AA4C" ma:contentTypeVersion="12" ma:contentTypeDescription="Crear nuevo documento." ma:contentTypeScope="" ma:versionID="f27e36334d109795b45f6d942bfe84d5">
  <xsd:schema xmlns:xsd="http://www.w3.org/2001/XMLSchema" xmlns:xs="http://www.w3.org/2001/XMLSchema" xmlns:p="http://schemas.microsoft.com/office/2006/metadata/properties" xmlns:ns2="194924c9-b21f-4234-8e5e-5d8945480dc0" xmlns:ns3="5857ee06-0cf2-470a-ac75-d3cc7329a161" targetNamespace="http://schemas.microsoft.com/office/2006/metadata/properties" ma:root="true" ma:fieldsID="972e2b7909ea310037691daa549c6afc" ns2:_="" ns3:_="">
    <xsd:import namespace="194924c9-b21f-4234-8e5e-5d8945480dc0"/>
    <xsd:import namespace="5857ee06-0cf2-470a-ac75-d3cc7329a16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4924c9-b21f-4234-8e5e-5d8945480d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78615d88-cd93-448a-b93f-405f4c438cc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857ee06-0cf2-470a-ac75-d3cc7329a16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be95a08-e825-4e7e-9946-f01567b4227e}" ma:internalName="TaxCatchAll" ma:showField="CatchAllData" ma:web="5857ee06-0cf2-470a-ac75-d3cc7329a1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94924c9-b21f-4234-8e5e-5d8945480dc0">
      <Terms xmlns="http://schemas.microsoft.com/office/infopath/2007/PartnerControls"/>
    </lcf76f155ced4ddcb4097134ff3c332f>
    <TaxCatchAll xmlns="5857ee06-0cf2-470a-ac75-d3cc7329a161" xsi:nil="true"/>
  </documentManagement>
</p:properties>
</file>

<file path=customXml/itemProps1.xml><?xml version="1.0" encoding="utf-8"?>
<ds:datastoreItem xmlns:ds="http://schemas.openxmlformats.org/officeDocument/2006/customXml" ds:itemID="{BE6758D2-7086-4220-B902-D286EF39FE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4924c9-b21f-4234-8e5e-5d8945480dc0"/>
    <ds:schemaRef ds:uri="5857ee06-0cf2-470a-ac75-d3cc7329a1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585DC9-981E-4F5E-8AAF-1BB09E06FA56}">
  <ds:schemaRefs>
    <ds:schemaRef ds:uri="http://schemas.microsoft.com/sharepoint/v3/contenttype/forms"/>
  </ds:schemaRefs>
</ds:datastoreItem>
</file>

<file path=customXml/itemProps3.xml><?xml version="1.0" encoding="utf-8"?>
<ds:datastoreItem xmlns:ds="http://schemas.openxmlformats.org/officeDocument/2006/customXml" ds:itemID="{C890F2F4-FE9F-4DDC-B162-10343A134335}">
  <ds:schemaRefs>
    <ds:schemaRef ds:uri="http://schemas.microsoft.com/office/2006/metadata/properties"/>
    <ds:schemaRef ds:uri="http://schemas.microsoft.com/office/infopath/2007/PartnerControls"/>
    <ds:schemaRef ds:uri="194924c9-b21f-4234-8e5e-5d8945480dc0"/>
    <ds:schemaRef ds:uri="5857ee06-0cf2-470a-ac75-d3cc7329a161"/>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755</Words>
  <Characters>4153</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García López</dc:creator>
  <cp:keywords/>
  <dc:description/>
  <cp:lastModifiedBy>usuario</cp:lastModifiedBy>
  <cp:revision>5</cp:revision>
  <dcterms:created xsi:type="dcterms:W3CDTF">2025-07-02T08:12:00Z</dcterms:created>
  <dcterms:modified xsi:type="dcterms:W3CDTF">2025-07-22T07:13:00Z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0x01010098BE28A5F652B54796DC01672C62AA4C</vt:lpwstr>
  </property>
</Properties>
</file>