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6DD9B" w14:textId="77777777" w:rsidR="00FC63A6" w:rsidRPr="00AC46F9" w:rsidRDefault="00FC63A6" w:rsidP="00FC63A6">
      <w:pPr>
        <w:pStyle w:val="Ttulo5"/>
        <w:jc w:val="both"/>
        <w:rPr>
          <w:color w:val="000000" w:themeColor="text1"/>
          <w:sz w:val="26"/>
          <w:szCs w:val="26"/>
        </w:rPr>
      </w:pPr>
      <w:bookmarkStart w:id="0" w:name="_Hlk33081743"/>
      <w:r w:rsidRPr="00AC46F9">
        <w:rPr>
          <w:color w:val="000000" w:themeColor="text1"/>
          <w:sz w:val="26"/>
          <w:szCs w:val="26"/>
        </w:rPr>
        <w:t>Afiliados extranjeros</w:t>
      </w:r>
    </w:p>
    <w:p w14:paraId="4C508622" w14:textId="77777777" w:rsidR="00FC63A6" w:rsidRPr="00287D59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noProof/>
          <w:color w:val="FF0000"/>
          <w:sz w:val="26"/>
          <w:szCs w:val="26"/>
          <w:u w:val="single"/>
        </w:rPr>
      </w:pPr>
    </w:p>
    <w:p w14:paraId="4836A5E3" w14:textId="402B918A" w:rsidR="00FC63A6" w:rsidRPr="00AC46F9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color w:val="000000" w:themeColor="text1"/>
          <w:sz w:val="48"/>
          <w:szCs w:val="48"/>
        </w:rPr>
      </w:pPr>
      <w:r w:rsidRPr="00AC46F9">
        <w:rPr>
          <w:rFonts w:ascii="Arial Narrow" w:hAnsi="Arial Narrow"/>
          <w:b/>
          <w:color w:val="000000" w:themeColor="text1"/>
          <w:sz w:val="48"/>
          <w:szCs w:val="48"/>
        </w:rPr>
        <w:t xml:space="preserve">La Seguridad Social registró </w:t>
      </w:r>
      <w:r w:rsidR="000E3315">
        <w:rPr>
          <w:rFonts w:ascii="Arial Narrow" w:hAnsi="Arial Narrow"/>
          <w:b/>
          <w:color w:val="000000" w:themeColor="text1"/>
          <w:sz w:val="48"/>
          <w:szCs w:val="48"/>
        </w:rPr>
        <w:t>2.044.669</w:t>
      </w:r>
      <w:r w:rsidR="00AC46F9" w:rsidRPr="00AC46F9">
        <w:rPr>
          <w:rFonts w:ascii="Arial Narrow" w:hAnsi="Arial Narrow"/>
          <w:b/>
          <w:color w:val="000000" w:themeColor="text1"/>
          <w:sz w:val="48"/>
          <w:szCs w:val="48"/>
        </w:rPr>
        <w:t xml:space="preserve"> </w:t>
      </w:r>
      <w:r w:rsidRPr="00AC46F9">
        <w:rPr>
          <w:rFonts w:ascii="Arial Narrow" w:hAnsi="Arial Narrow"/>
          <w:b/>
          <w:color w:val="000000" w:themeColor="text1"/>
          <w:sz w:val="48"/>
          <w:szCs w:val="48"/>
        </w:rPr>
        <w:t xml:space="preserve">trabajadores extranjeros de media en </w:t>
      </w:r>
      <w:r w:rsidR="000E3315">
        <w:rPr>
          <w:rFonts w:ascii="Arial Narrow" w:hAnsi="Arial Narrow"/>
          <w:b/>
          <w:color w:val="000000" w:themeColor="text1"/>
          <w:sz w:val="48"/>
          <w:szCs w:val="48"/>
        </w:rPr>
        <w:t>enero</w:t>
      </w:r>
      <w:r w:rsidRPr="00AC46F9">
        <w:rPr>
          <w:rFonts w:ascii="Arial Narrow" w:hAnsi="Arial Narrow"/>
          <w:b/>
          <w:color w:val="000000" w:themeColor="text1"/>
          <w:sz w:val="48"/>
          <w:szCs w:val="48"/>
        </w:rPr>
        <w:t xml:space="preserve"> </w:t>
      </w:r>
    </w:p>
    <w:p w14:paraId="7386BFA4" w14:textId="77777777" w:rsidR="00FC63A6" w:rsidRPr="00287D59" w:rsidRDefault="00FC63A6" w:rsidP="00FC63A6">
      <w:pPr>
        <w:pStyle w:val="Piedepgina"/>
        <w:tabs>
          <w:tab w:val="left" w:pos="708"/>
        </w:tabs>
        <w:ind w:left="2880"/>
        <w:jc w:val="both"/>
        <w:rPr>
          <w:rFonts w:ascii="Arial Narrow" w:hAnsi="Arial Narrow"/>
          <w:b/>
          <w:color w:val="FF0000"/>
          <w:sz w:val="26"/>
          <w:szCs w:val="26"/>
        </w:rPr>
      </w:pPr>
    </w:p>
    <w:p w14:paraId="1372F00A" w14:textId="77777777" w:rsidR="00DA39C2" w:rsidRPr="00287D59" w:rsidRDefault="00DA39C2" w:rsidP="00DA39C2">
      <w:pPr>
        <w:pStyle w:val="Rpido"/>
        <w:snapToGrid w:val="0"/>
        <w:ind w:left="643"/>
        <w:jc w:val="both"/>
        <w:rPr>
          <w:rFonts w:ascii="Arial Narrow" w:hAnsi="Arial Narrow"/>
          <w:b/>
          <w:color w:val="FF0000"/>
          <w:sz w:val="28"/>
          <w:szCs w:val="28"/>
          <w:lang w:val="es-ES"/>
        </w:rPr>
      </w:pPr>
    </w:p>
    <w:p w14:paraId="3B6F740B" w14:textId="4CA13C30" w:rsidR="00FC63A6" w:rsidRPr="007F7A54" w:rsidRDefault="006E45E7" w:rsidP="00FC63A6">
      <w:pPr>
        <w:pStyle w:val="Rpido"/>
        <w:numPr>
          <w:ilvl w:val="0"/>
          <w:numId w:val="12"/>
        </w:numPr>
        <w:tabs>
          <w:tab w:val="num" w:pos="720"/>
        </w:tabs>
        <w:snapToGrid w:val="0"/>
        <w:jc w:val="both"/>
        <w:rPr>
          <w:rFonts w:ascii="Arial Narrow" w:hAnsi="Arial Narrow"/>
          <w:b/>
          <w:color w:val="000000" w:themeColor="text1"/>
          <w:sz w:val="28"/>
          <w:szCs w:val="28"/>
          <w:lang w:val="es-ES"/>
        </w:rPr>
      </w:pPr>
      <w:r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Se contabiliza</w:t>
      </w:r>
      <w:r w:rsidR="00FC63A6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 xml:space="preserve">n </w:t>
      </w:r>
      <w:r w:rsidR="007F7A54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33.967</w:t>
      </w:r>
      <w:r w:rsidR="00FC63A6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 xml:space="preserve"> ocupados extranjeros </w:t>
      </w:r>
      <w:r w:rsidR="00AC46F9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m</w:t>
      </w:r>
      <w:r w:rsidR="007F7A54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enos</w:t>
      </w:r>
      <w:r w:rsidR="00FC63A6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 xml:space="preserve"> de media que en </w:t>
      </w:r>
      <w:r w:rsidR="00E10101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dic</w:t>
      </w:r>
      <w:r w:rsidR="00AC46F9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iembre</w:t>
      </w:r>
    </w:p>
    <w:p w14:paraId="3DC39D9E" w14:textId="77777777" w:rsidR="00FC63A6" w:rsidRPr="00FF5B0F" w:rsidRDefault="00FC63A6" w:rsidP="00FC63A6">
      <w:pPr>
        <w:pStyle w:val="Rpido"/>
        <w:jc w:val="both"/>
        <w:rPr>
          <w:rFonts w:ascii="Arial Narrow" w:hAnsi="Arial Narrow"/>
          <w:b/>
          <w:color w:val="FF0000"/>
          <w:sz w:val="28"/>
          <w:szCs w:val="28"/>
          <w:lang w:val="es-ES"/>
        </w:rPr>
      </w:pPr>
    </w:p>
    <w:p w14:paraId="1D766826" w14:textId="514AF70C" w:rsidR="00411C9A" w:rsidRPr="007F7A54" w:rsidRDefault="00166D44" w:rsidP="00411C9A">
      <w:pPr>
        <w:pStyle w:val="Rpido"/>
        <w:numPr>
          <w:ilvl w:val="0"/>
          <w:numId w:val="12"/>
        </w:numPr>
        <w:tabs>
          <w:tab w:val="num" w:pos="720"/>
        </w:tabs>
        <w:snapToGrid w:val="0"/>
        <w:jc w:val="both"/>
        <w:rPr>
          <w:rFonts w:ascii="Arial Narrow" w:hAnsi="Arial Narrow"/>
          <w:b/>
          <w:color w:val="000000" w:themeColor="text1"/>
          <w:sz w:val="28"/>
          <w:szCs w:val="28"/>
          <w:lang w:val="es-ES"/>
        </w:rPr>
      </w:pPr>
      <w:r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 xml:space="preserve">Cuatro </w:t>
      </w:r>
      <w:r w:rsidR="00ED2636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CCAA</w:t>
      </w:r>
      <w:r w:rsidR="00FC63A6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 xml:space="preserve"> </w:t>
      </w:r>
      <w:r w:rsidR="00ED2636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tienen más</w:t>
      </w:r>
      <w:r w:rsidR="00FC63A6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 xml:space="preserve"> afiliados que hace un año</w:t>
      </w:r>
      <w:r w:rsidR="00411C9A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 xml:space="preserve">: Castilla-La Mancha, Galicia, Andalucía </w:t>
      </w:r>
      <w:r w:rsidR="00E10101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y Asturias</w:t>
      </w:r>
    </w:p>
    <w:p w14:paraId="6E3AD8F8" w14:textId="6B830C29" w:rsidR="00FC63A6" w:rsidRPr="00FF5B0F" w:rsidRDefault="00FC63A6" w:rsidP="00411C9A">
      <w:pPr>
        <w:pStyle w:val="Rpido"/>
        <w:snapToGrid w:val="0"/>
        <w:jc w:val="both"/>
        <w:rPr>
          <w:b/>
          <w:color w:val="FF0000"/>
          <w:sz w:val="28"/>
          <w:szCs w:val="28"/>
        </w:rPr>
      </w:pPr>
    </w:p>
    <w:p w14:paraId="62A29DF3" w14:textId="290E41E2" w:rsidR="00FC63A6" w:rsidRPr="007F7A54" w:rsidRDefault="006E45E7" w:rsidP="00FC63A6">
      <w:pPr>
        <w:pStyle w:val="Rpido"/>
        <w:numPr>
          <w:ilvl w:val="0"/>
          <w:numId w:val="12"/>
        </w:numPr>
        <w:tabs>
          <w:tab w:val="num" w:pos="720"/>
        </w:tabs>
        <w:snapToGrid w:val="0"/>
        <w:jc w:val="both"/>
        <w:rPr>
          <w:rFonts w:ascii="Arial Narrow" w:hAnsi="Arial Narrow"/>
          <w:b/>
          <w:snapToGrid/>
          <w:color w:val="000000" w:themeColor="text1"/>
          <w:sz w:val="28"/>
          <w:szCs w:val="28"/>
          <w:lang w:val="es-ES"/>
        </w:rPr>
      </w:pPr>
      <w:r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Representan</w:t>
      </w:r>
      <w:r w:rsidR="00FC63A6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 xml:space="preserve"> un </w:t>
      </w:r>
      <w:r w:rsidR="00DE4557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10,</w:t>
      </w:r>
      <w:r w:rsidR="007F7A54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86</w:t>
      </w:r>
      <w:r w:rsidR="00FC63A6" w:rsidRPr="007F7A54">
        <w:rPr>
          <w:rFonts w:ascii="Arial Narrow" w:hAnsi="Arial Narrow"/>
          <w:b/>
          <w:color w:val="000000" w:themeColor="text1"/>
          <w:sz w:val="28"/>
          <w:szCs w:val="28"/>
          <w:lang w:val="es-ES"/>
        </w:rPr>
        <w:t>% del total de afiliados a la Seguridad Social</w:t>
      </w:r>
    </w:p>
    <w:p w14:paraId="139256DC" w14:textId="77777777" w:rsidR="00FC63A6" w:rsidRPr="00FF5B0F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color w:val="FF0000"/>
          <w:sz w:val="26"/>
          <w:szCs w:val="26"/>
        </w:rPr>
      </w:pPr>
    </w:p>
    <w:p w14:paraId="701AF8C1" w14:textId="77777777" w:rsidR="00FC63A6" w:rsidRPr="00FF5B0F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color w:val="FF0000"/>
          <w:sz w:val="26"/>
          <w:szCs w:val="26"/>
        </w:rPr>
      </w:pPr>
    </w:p>
    <w:p w14:paraId="55C60537" w14:textId="2A5E80F8" w:rsidR="00DA39C2" w:rsidRPr="00FF5B0F" w:rsidRDefault="001B59DF" w:rsidP="00DA39C2">
      <w:pPr>
        <w:pStyle w:val="Sangradetextonormal"/>
        <w:spacing w:after="240"/>
        <w:ind w:left="0"/>
        <w:rPr>
          <w:color w:val="FF0000"/>
          <w:szCs w:val="28"/>
        </w:rPr>
      </w:pPr>
      <w:r w:rsidRPr="007F7A54">
        <w:rPr>
          <w:color w:val="000000" w:themeColor="text1"/>
          <w:szCs w:val="28"/>
          <w:u w:val="single"/>
        </w:rPr>
        <w:t xml:space="preserve">Jueves, </w:t>
      </w:r>
      <w:r w:rsidR="007F7A54" w:rsidRPr="007F7A54">
        <w:rPr>
          <w:color w:val="000000" w:themeColor="text1"/>
          <w:szCs w:val="28"/>
          <w:u w:val="single"/>
        </w:rPr>
        <w:t>18 de febrero</w:t>
      </w:r>
      <w:r w:rsidRPr="007F7A54">
        <w:rPr>
          <w:color w:val="000000" w:themeColor="text1"/>
          <w:szCs w:val="28"/>
          <w:u w:val="single"/>
        </w:rPr>
        <w:t xml:space="preserve"> de</w:t>
      </w:r>
      <w:r w:rsidR="00E65BC3" w:rsidRPr="007F7A54">
        <w:rPr>
          <w:color w:val="000000" w:themeColor="text1"/>
          <w:szCs w:val="28"/>
          <w:u w:val="single"/>
        </w:rPr>
        <w:t xml:space="preserve"> </w:t>
      </w:r>
      <w:r w:rsidRPr="007F7A54">
        <w:rPr>
          <w:color w:val="000000" w:themeColor="text1"/>
          <w:szCs w:val="28"/>
          <w:u w:val="single"/>
        </w:rPr>
        <w:t>2021</w:t>
      </w:r>
      <w:r w:rsidR="00FC63A6" w:rsidRPr="00440F7C">
        <w:rPr>
          <w:color w:val="000000" w:themeColor="text1"/>
          <w:szCs w:val="28"/>
        </w:rPr>
        <w:t xml:space="preserve">.- La Seguridad Social registró una media de </w:t>
      </w:r>
      <w:r w:rsidR="00892811" w:rsidRPr="00440F7C">
        <w:rPr>
          <w:b/>
          <w:bCs/>
          <w:color w:val="000000" w:themeColor="text1"/>
          <w:szCs w:val="28"/>
        </w:rPr>
        <w:t>2.</w:t>
      </w:r>
      <w:r w:rsidR="00DD554F" w:rsidRPr="00440F7C">
        <w:rPr>
          <w:b/>
          <w:bCs/>
          <w:color w:val="000000" w:themeColor="text1"/>
          <w:szCs w:val="28"/>
        </w:rPr>
        <w:t>044.669</w:t>
      </w:r>
      <w:r w:rsidR="00FC63A6" w:rsidRPr="00440F7C">
        <w:rPr>
          <w:b/>
          <w:bCs/>
          <w:color w:val="000000" w:themeColor="text1"/>
          <w:szCs w:val="28"/>
        </w:rPr>
        <w:t xml:space="preserve"> trabajadores</w:t>
      </w:r>
      <w:r w:rsidR="00FC63A6" w:rsidRPr="00440F7C">
        <w:rPr>
          <w:color w:val="000000" w:themeColor="text1"/>
          <w:szCs w:val="28"/>
        </w:rPr>
        <w:t xml:space="preserve"> extranjeros afiliados en </w:t>
      </w:r>
      <w:r w:rsidR="007F01F4" w:rsidRPr="00440F7C">
        <w:rPr>
          <w:color w:val="000000" w:themeColor="text1"/>
          <w:szCs w:val="28"/>
        </w:rPr>
        <w:t>enero</w:t>
      </w:r>
      <w:r w:rsidR="00FC63A6" w:rsidRPr="00440F7C">
        <w:rPr>
          <w:color w:val="000000" w:themeColor="text1"/>
          <w:szCs w:val="28"/>
        </w:rPr>
        <w:t xml:space="preserve">, lo que supone </w:t>
      </w:r>
      <w:r w:rsidR="007F01F4" w:rsidRPr="00440F7C">
        <w:rPr>
          <w:b/>
          <w:color w:val="000000" w:themeColor="text1"/>
          <w:szCs w:val="28"/>
        </w:rPr>
        <w:t>33.967</w:t>
      </w:r>
      <w:r w:rsidR="00FC63A6" w:rsidRPr="00440F7C">
        <w:rPr>
          <w:color w:val="000000" w:themeColor="text1"/>
          <w:szCs w:val="28"/>
        </w:rPr>
        <w:t xml:space="preserve"> ocupados </w:t>
      </w:r>
      <w:r w:rsidR="00E65BC3" w:rsidRPr="00440F7C">
        <w:rPr>
          <w:color w:val="000000" w:themeColor="text1"/>
          <w:szCs w:val="28"/>
        </w:rPr>
        <w:t>m</w:t>
      </w:r>
      <w:r w:rsidR="005F4CAB" w:rsidRPr="00440F7C">
        <w:rPr>
          <w:color w:val="000000" w:themeColor="text1"/>
          <w:szCs w:val="28"/>
        </w:rPr>
        <w:t>enos</w:t>
      </w:r>
      <w:r w:rsidR="005339D5" w:rsidRPr="00440F7C">
        <w:rPr>
          <w:color w:val="000000" w:themeColor="text1"/>
          <w:szCs w:val="28"/>
        </w:rPr>
        <w:t xml:space="preserve"> </w:t>
      </w:r>
      <w:r w:rsidR="00FC63A6" w:rsidRPr="00440F7C">
        <w:rPr>
          <w:color w:val="000000" w:themeColor="text1"/>
          <w:szCs w:val="28"/>
        </w:rPr>
        <w:t xml:space="preserve">respecto al mes anterior </w:t>
      </w:r>
      <w:r w:rsidR="0086379C" w:rsidRPr="00440F7C">
        <w:rPr>
          <w:color w:val="000000" w:themeColor="text1"/>
          <w:szCs w:val="28"/>
        </w:rPr>
        <w:t>(</w:t>
      </w:r>
      <w:r w:rsidR="00440F7C" w:rsidRPr="00440F7C">
        <w:rPr>
          <w:color w:val="000000" w:themeColor="text1"/>
          <w:szCs w:val="28"/>
        </w:rPr>
        <w:t>-1,63</w:t>
      </w:r>
      <w:r w:rsidR="00FC63A6" w:rsidRPr="00440F7C">
        <w:rPr>
          <w:color w:val="000000" w:themeColor="text1"/>
          <w:szCs w:val="28"/>
        </w:rPr>
        <w:t>%).</w:t>
      </w:r>
      <w:r w:rsidR="00440F7C" w:rsidRPr="00440F7C">
        <w:rPr>
          <w:color w:val="000000" w:themeColor="text1"/>
          <w:szCs w:val="28"/>
        </w:rPr>
        <w:t xml:space="preserve"> Enero es tradicionalmente un mes de descenso para la afiliación. Aunque la tasa interanual es negativa (-2,19%), el sistema sumó en enero 72.117 respecto a la</w:t>
      </w:r>
      <w:r w:rsidR="00FC63A6" w:rsidRPr="00440F7C">
        <w:rPr>
          <w:color w:val="000000" w:themeColor="text1"/>
          <w:szCs w:val="28"/>
        </w:rPr>
        <w:t xml:space="preserve"> </w:t>
      </w:r>
      <w:r w:rsidR="005339D5" w:rsidRPr="00440F7C">
        <w:rPr>
          <w:color w:val="000000" w:themeColor="text1"/>
          <w:szCs w:val="28"/>
        </w:rPr>
        <w:t xml:space="preserve">media en abril, </w:t>
      </w:r>
      <w:r w:rsidR="005B3F50" w:rsidRPr="00440F7C">
        <w:rPr>
          <w:color w:val="000000" w:themeColor="text1"/>
          <w:szCs w:val="28"/>
        </w:rPr>
        <w:t xml:space="preserve">punto más bajo </w:t>
      </w:r>
      <w:r w:rsidR="00CA7018" w:rsidRPr="00440F7C">
        <w:rPr>
          <w:color w:val="000000" w:themeColor="text1"/>
          <w:szCs w:val="28"/>
        </w:rPr>
        <w:t xml:space="preserve">de esta serie </w:t>
      </w:r>
      <w:r w:rsidR="005339D5" w:rsidRPr="00440F7C">
        <w:rPr>
          <w:color w:val="000000" w:themeColor="text1"/>
          <w:szCs w:val="28"/>
        </w:rPr>
        <w:t>durante la pandemia</w:t>
      </w:r>
      <w:r w:rsidR="00440F7C" w:rsidRPr="00440F7C">
        <w:rPr>
          <w:color w:val="000000" w:themeColor="text1"/>
          <w:szCs w:val="28"/>
        </w:rPr>
        <w:t>, cuando había</w:t>
      </w:r>
      <w:r w:rsidR="004E656A" w:rsidRPr="00440F7C">
        <w:rPr>
          <w:color w:val="000000" w:themeColor="text1"/>
          <w:szCs w:val="28"/>
        </w:rPr>
        <w:t xml:space="preserve"> </w:t>
      </w:r>
      <w:r w:rsidR="005B3F50" w:rsidRPr="00440F7C">
        <w:rPr>
          <w:color w:val="000000" w:themeColor="text1"/>
          <w:szCs w:val="28"/>
        </w:rPr>
        <w:t>1.972.552</w:t>
      </w:r>
      <w:r w:rsidR="004E656A" w:rsidRPr="00440F7C">
        <w:rPr>
          <w:color w:val="000000" w:themeColor="text1"/>
          <w:szCs w:val="28"/>
        </w:rPr>
        <w:t xml:space="preserve"> cotizantes de otros países</w:t>
      </w:r>
      <w:r w:rsidR="005B3F50" w:rsidRPr="00440F7C">
        <w:rPr>
          <w:color w:val="000000" w:themeColor="text1"/>
          <w:szCs w:val="28"/>
        </w:rPr>
        <w:t xml:space="preserve">. </w:t>
      </w:r>
    </w:p>
    <w:p w14:paraId="28C2E79F" w14:textId="4274D43A" w:rsidR="00FC63A6" w:rsidRPr="001169B4" w:rsidRDefault="00FC63A6" w:rsidP="00FC63A6">
      <w:pPr>
        <w:pStyle w:val="Sangradetextonormal"/>
        <w:spacing w:after="240"/>
        <w:ind w:left="0"/>
        <w:rPr>
          <w:color w:val="000000" w:themeColor="text1"/>
          <w:szCs w:val="28"/>
        </w:rPr>
      </w:pPr>
      <w:r w:rsidRPr="001169B4">
        <w:rPr>
          <w:color w:val="000000" w:themeColor="text1"/>
          <w:szCs w:val="28"/>
        </w:rPr>
        <w:t xml:space="preserve">En el conjunto del sistema de la Seguridad Social, </w:t>
      </w:r>
      <w:r w:rsidR="004E656A" w:rsidRPr="001169B4">
        <w:rPr>
          <w:color w:val="000000" w:themeColor="text1"/>
          <w:szCs w:val="28"/>
        </w:rPr>
        <w:t>estos trabajadores</w:t>
      </w:r>
      <w:r w:rsidRPr="001169B4">
        <w:rPr>
          <w:color w:val="000000" w:themeColor="text1"/>
          <w:szCs w:val="28"/>
        </w:rPr>
        <w:t xml:space="preserve"> representaron </w:t>
      </w:r>
      <w:r w:rsidR="00DC1293" w:rsidRPr="001169B4">
        <w:rPr>
          <w:color w:val="000000" w:themeColor="text1"/>
          <w:szCs w:val="28"/>
        </w:rPr>
        <w:t xml:space="preserve">de media </w:t>
      </w:r>
      <w:r w:rsidRPr="001169B4">
        <w:rPr>
          <w:color w:val="000000" w:themeColor="text1"/>
          <w:szCs w:val="28"/>
        </w:rPr>
        <w:t xml:space="preserve">un </w:t>
      </w:r>
      <w:r w:rsidR="000F01A3" w:rsidRPr="001169B4">
        <w:rPr>
          <w:b/>
          <w:bCs/>
          <w:color w:val="000000" w:themeColor="text1"/>
          <w:szCs w:val="28"/>
        </w:rPr>
        <w:t>10,</w:t>
      </w:r>
      <w:r w:rsidR="001169B4" w:rsidRPr="001169B4">
        <w:rPr>
          <w:b/>
          <w:bCs/>
          <w:color w:val="000000" w:themeColor="text1"/>
          <w:szCs w:val="28"/>
        </w:rPr>
        <w:t>86</w:t>
      </w:r>
      <w:r w:rsidRPr="001169B4">
        <w:rPr>
          <w:b/>
          <w:bCs/>
          <w:color w:val="000000" w:themeColor="text1"/>
          <w:szCs w:val="28"/>
        </w:rPr>
        <w:t>% del total</w:t>
      </w:r>
      <w:r w:rsidRPr="001169B4">
        <w:rPr>
          <w:color w:val="000000" w:themeColor="text1"/>
          <w:szCs w:val="28"/>
        </w:rPr>
        <w:t>.</w:t>
      </w:r>
    </w:p>
    <w:p w14:paraId="4D3F3F76" w14:textId="0C71C832" w:rsidR="00DE75BC" w:rsidRPr="00144522" w:rsidRDefault="00DE75BC" w:rsidP="00DE75BC">
      <w:pPr>
        <w:pStyle w:val="Sangradetextonormal"/>
        <w:spacing w:after="240"/>
        <w:ind w:left="0"/>
        <w:rPr>
          <w:color w:val="000000" w:themeColor="text1"/>
          <w:szCs w:val="28"/>
        </w:rPr>
      </w:pPr>
      <w:r w:rsidRPr="00264631">
        <w:rPr>
          <w:color w:val="000000" w:themeColor="text1"/>
          <w:szCs w:val="28"/>
        </w:rPr>
        <w:t>Del conjunto de trabajadores extranjeros, 1.</w:t>
      </w:r>
      <w:r w:rsidR="001169B4" w:rsidRPr="00264631">
        <w:rPr>
          <w:color w:val="000000" w:themeColor="text1"/>
          <w:szCs w:val="28"/>
        </w:rPr>
        <w:t>307.637</w:t>
      </w:r>
      <w:r w:rsidR="00046530" w:rsidRPr="00264631">
        <w:rPr>
          <w:color w:val="000000" w:themeColor="text1"/>
          <w:szCs w:val="28"/>
        </w:rPr>
        <w:t xml:space="preserve"> </w:t>
      </w:r>
      <w:r w:rsidRPr="00264631">
        <w:rPr>
          <w:color w:val="000000" w:themeColor="text1"/>
          <w:szCs w:val="28"/>
        </w:rPr>
        <w:t xml:space="preserve">procedían de países de </w:t>
      </w:r>
      <w:r w:rsidRPr="00264631">
        <w:rPr>
          <w:b/>
          <w:bCs/>
          <w:color w:val="000000" w:themeColor="text1"/>
          <w:szCs w:val="28"/>
        </w:rPr>
        <w:t>fuera de la UE (</w:t>
      </w:r>
      <w:r w:rsidR="001169B4" w:rsidRPr="00264631">
        <w:rPr>
          <w:b/>
          <w:bCs/>
          <w:color w:val="000000" w:themeColor="text1"/>
          <w:szCs w:val="28"/>
        </w:rPr>
        <w:t>63,95</w:t>
      </w:r>
      <w:r w:rsidRPr="00264631">
        <w:rPr>
          <w:b/>
          <w:bCs/>
          <w:color w:val="000000" w:themeColor="text1"/>
          <w:szCs w:val="28"/>
        </w:rPr>
        <w:t>%)</w:t>
      </w:r>
      <w:r w:rsidRPr="00264631">
        <w:rPr>
          <w:color w:val="000000" w:themeColor="text1"/>
          <w:szCs w:val="28"/>
        </w:rPr>
        <w:t xml:space="preserve"> y el resto (</w:t>
      </w:r>
      <w:r w:rsidR="00166D44">
        <w:rPr>
          <w:color w:val="000000" w:themeColor="text1"/>
          <w:szCs w:val="28"/>
        </w:rPr>
        <w:t>737</w:t>
      </w:r>
      <w:r w:rsidR="001169B4" w:rsidRPr="00264631">
        <w:rPr>
          <w:color w:val="000000" w:themeColor="text1"/>
          <w:szCs w:val="28"/>
        </w:rPr>
        <w:t>.032</w:t>
      </w:r>
      <w:r w:rsidRPr="00264631">
        <w:rPr>
          <w:color w:val="000000" w:themeColor="text1"/>
          <w:szCs w:val="28"/>
        </w:rPr>
        <w:t xml:space="preserve">) de </w:t>
      </w:r>
      <w:r w:rsidRPr="00264631">
        <w:rPr>
          <w:b/>
          <w:bCs/>
          <w:color w:val="000000" w:themeColor="text1"/>
          <w:szCs w:val="28"/>
        </w:rPr>
        <w:t>países comunitarios (3</w:t>
      </w:r>
      <w:r w:rsidR="00166D44">
        <w:rPr>
          <w:b/>
          <w:bCs/>
          <w:color w:val="000000" w:themeColor="text1"/>
          <w:szCs w:val="28"/>
        </w:rPr>
        <w:t>6</w:t>
      </w:r>
      <w:r w:rsidRPr="00264631">
        <w:rPr>
          <w:b/>
          <w:bCs/>
          <w:color w:val="000000" w:themeColor="text1"/>
          <w:szCs w:val="28"/>
        </w:rPr>
        <w:t>,</w:t>
      </w:r>
      <w:r w:rsidR="001169B4" w:rsidRPr="00264631">
        <w:rPr>
          <w:b/>
          <w:bCs/>
          <w:color w:val="000000" w:themeColor="text1"/>
          <w:szCs w:val="28"/>
        </w:rPr>
        <w:t>05</w:t>
      </w:r>
      <w:r w:rsidRPr="00264631">
        <w:rPr>
          <w:b/>
          <w:bCs/>
          <w:color w:val="000000" w:themeColor="text1"/>
          <w:szCs w:val="28"/>
        </w:rPr>
        <w:t>%)</w:t>
      </w:r>
      <w:r w:rsidRPr="00264631">
        <w:rPr>
          <w:color w:val="000000" w:themeColor="text1"/>
          <w:szCs w:val="28"/>
        </w:rPr>
        <w:t xml:space="preserve">. Los grupos de </w:t>
      </w:r>
      <w:r w:rsidR="00E730DB" w:rsidRPr="00264631">
        <w:rPr>
          <w:color w:val="000000" w:themeColor="text1"/>
          <w:szCs w:val="28"/>
        </w:rPr>
        <w:t>cotizantes</w:t>
      </w:r>
      <w:r w:rsidRPr="00264631">
        <w:rPr>
          <w:color w:val="000000" w:themeColor="text1"/>
          <w:szCs w:val="28"/>
        </w:rPr>
        <w:t xml:space="preserve"> extranjeros más numerosos fueron los procedentes de </w:t>
      </w:r>
      <w:r w:rsidRPr="00264631">
        <w:rPr>
          <w:b/>
          <w:bCs/>
          <w:color w:val="000000" w:themeColor="text1"/>
          <w:szCs w:val="28"/>
        </w:rPr>
        <w:t>Rumanía</w:t>
      </w:r>
      <w:r w:rsidRPr="00264631">
        <w:rPr>
          <w:color w:val="000000" w:themeColor="text1"/>
          <w:szCs w:val="28"/>
        </w:rPr>
        <w:t xml:space="preserve"> (</w:t>
      </w:r>
      <w:r w:rsidR="001169B4" w:rsidRPr="00264631">
        <w:rPr>
          <w:color w:val="000000" w:themeColor="text1"/>
          <w:szCs w:val="28"/>
        </w:rPr>
        <w:t>320.114</w:t>
      </w:r>
      <w:r w:rsidRPr="00264631">
        <w:rPr>
          <w:color w:val="000000" w:themeColor="text1"/>
          <w:szCs w:val="28"/>
        </w:rPr>
        <w:t xml:space="preserve">), </w:t>
      </w:r>
      <w:r w:rsidRPr="00264631">
        <w:rPr>
          <w:b/>
          <w:bCs/>
          <w:color w:val="000000" w:themeColor="text1"/>
          <w:szCs w:val="28"/>
        </w:rPr>
        <w:t>Marruecos</w:t>
      </w:r>
      <w:r w:rsidRPr="00264631">
        <w:rPr>
          <w:color w:val="000000" w:themeColor="text1"/>
          <w:szCs w:val="28"/>
        </w:rPr>
        <w:t xml:space="preserve"> (</w:t>
      </w:r>
      <w:r w:rsidR="001169B4" w:rsidRPr="00264631">
        <w:rPr>
          <w:color w:val="000000" w:themeColor="text1"/>
          <w:szCs w:val="28"/>
        </w:rPr>
        <w:t>258.939</w:t>
      </w:r>
      <w:r w:rsidRPr="00264631">
        <w:rPr>
          <w:color w:val="000000" w:themeColor="text1"/>
          <w:szCs w:val="28"/>
        </w:rPr>
        <w:t xml:space="preserve">), </w:t>
      </w:r>
      <w:r w:rsidRPr="00264631">
        <w:rPr>
          <w:b/>
          <w:color w:val="000000" w:themeColor="text1"/>
          <w:szCs w:val="28"/>
        </w:rPr>
        <w:t>Italia</w:t>
      </w:r>
      <w:r w:rsidRPr="00264631">
        <w:rPr>
          <w:color w:val="000000" w:themeColor="text1"/>
          <w:szCs w:val="28"/>
        </w:rPr>
        <w:t xml:space="preserve"> </w:t>
      </w:r>
      <w:r w:rsidRPr="00144522">
        <w:rPr>
          <w:color w:val="000000" w:themeColor="text1"/>
          <w:szCs w:val="28"/>
        </w:rPr>
        <w:t>(</w:t>
      </w:r>
      <w:r w:rsidR="001169B4" w:rsidRPr="00144522">
        <w:rPr>
          <w:color w:val="000000" w:themeColor="text1"/>
          <w:szCs w:val="28"/>
        </w:rPr>
        <w:t>120.</w:t>
      </w:r>
      <w:r w:rsidR="00264631" w:rsidRPr="00144522">
        <w:rPr>
          <w:color w:val="000000" w:themeColor="text1"/>
          <w:szCs w:val="28"/>
        </w:rPr>
        <w:t>439</w:t>
      </w:r>
      <w:r w:rsidRPr="00144522">
        <w:rPr>
          <w:color w:val="000000" w:themeColor="text1"/>
          <w:szCs w:val="28"/>
        </w:rPr>
        <w:t xml:space="preserve">) y </w:t>
      </w:r>
      <w:r w:rsidRPr="00144522">
        <w:rPr>
          <w:b/>
          <w:bCs/>
          <w:color w:val="000000" w:themeColor="text1"/>
          <w:szCs w:val="28"/>
        </w:rPr>
        <w:t>China</w:t>
      </w:r>
      <w:r w:rsidRPr="00144522">
        <w:rPr>
          <w:color w:val="000000" w:themeColor="text1"/>
          <w:szCs w:val="28"/>
        </w:rPr>
        <w:t xml:space="preserve"> (9</w:t>
      </w:r>
      <w:r w:rsidR="001169B4" w:rsidRPr="00144522">
        <w:rPr>
          <w:color w:val="000000" w:themeColor="text1"/>
          <w:szCs w:val="28"/>
        </w:rPr>
        <w:t>7.610</w:t>
      </w:r>
      <w:r w:rsidRPr="00144522">
        <w:rPr>
          <w:color w:val="000000" w:themeColor="text1"/>
          <w:szCs w:val="28"/>
        </w:rPr>
        <w:t xml:space="preserve">). </w:t>
      </w:r>
    </w:p>
    <w:p w14:paraId="773113D0" w14:textId="654D3802" w:rsidR="00F174A7" w:rsidRPr="00144522" w:rsidRDefault="00F174A7" w:rsidP="00DE75BC">
      <w:pPr>
        <w:pStyle w:val="Sangradetextonormal"/>
        <w:spacing w:after="240"/>
        <w:ind w:left="0"/>
        <w:rPr>
          <w:color w:val="000000" w:themeColor="text1"/>
          <w:szCs w:val="28"/>
        </w:rPr>
      </w:pPr>
      <w:r w:rsidRPr="00144522">
        <w:rPr>
          <w:color w:val="000000" w:themeColor="text1"/>
          <w:szCs w:val="28"/>
        </w:rPr>
        <w:t xml:space="preserve">Un </w:t>
      </w:r>
      <w:r w:rsidR="00042100" w:rsidRPr="00144522">
        <w:rPr>
          <w:b/>
          <w:bCs/>
          <w:color w:val="000000" w:themeColor="text1"/>
          <w:szCs w:val="28"/>
        </w:rPr>
        <w:t>57,</w:t>
      </w:r>
      <w:r w:rsidR="00144522" w:rsidRPr="00144522">
        <w:rPr>
          <w:b/>
          <w:bCs/>
          <w:color w:val="000000" w:themeColor="text1"/>
          <w:szCs w:val="28"/>
        </w:rPr>
        <w:t>27</w:t>
      </w:r>
      <w:r w:rsidRPr="00144522">
        <w:rPr>
          <w:b/>
          <w:bCs/>
          <w:color w:val="000000" w:themeColor="text1"/>
          <w:szCs w:val="28"/>
        </w:rPr>
        <w:t>%</w:t>
      </w:r>
      <w:r w:rsidRPr="00144522">
        <w:rPr>
          <w:color w:val="000000" w:themeColor="text1"/>
          <w:szCs w:val="28"/>
        </w:rPr>
        <w:t xml:space="preserve"> fueron </w:t>
      </w:r>
      <w:r w:rsidRPr="00144522">
        <w:rPr>
          <w:b/>
          <w:bCs/>
          <w:color w:val="000000" w:themeColor="text1"/>
          <w:szCs w:val="28"/>
        </w:rPr>
        <w:t>hombres</w:t>
      </w:r>
      <w:r w:rsidRPr="00144522">
        <w:rPr>
          <w:color w:val="000000" w:themeColor="text1"/>
          <w:szCs w:val="28"/>
        </w:rPr>
        <w:t xml:space="preserve"> (</w:t>
      </w:r>
      <w:r w:rsidR="00042100" w:rsidRPr="00144522">
        <w:rPr>
          <w:color w:val="000000" w:themeColor="text1"/>
          <w:szCs w:val="28"/>
        </w:rPr>
        <w:t>1.</w:t>
      </w:r>
      <w:r w:rsidR="00144522" w:rsidRPr="00144522">
        <w:rPr>
          <w:color w:val="000000" w:themeColor="text1"/>
          <w:szCs w:val="28"/>
        </w:rPr>
        <w:t>171.067</w:t>
      </w:r>
      <w:r w:rsidR="008A3273" w:rsidRPr="00144522">
        <w:rPr>
          <w:color w:val="000000" w:themeColor="text1"/>
          <w:szCs w:val="28"/>
        </w:rPr>
        <w:t>),</w:t>
      </w:r>
      <w:r w:rsidR="00042100" w:rsidRPr="00144522">
        <w:rPr>
          <w:color w:val="000000" w:themeColor="text1"/>
          <w:szCs w:val="28"/>
        </w:rPr>
        <w:t xml:space="preserve"> </w:t>
      </w:r>
      <w:r w:rsidRPr="00144522">
        <w:rPr>
          <w:color w:val="000000" w:themeColor="text1"/>
          <w:szCs w:val="28"/>
        </w:rPr>
        <w:t xml:space="preserve">mientras que el </w:t>
      </w:r>
      <w:r w:rsidRPr="00144522">
        <w:rPr>
          <w:b/>
          <w:bCs/>
          <w:color w:val="000000" w:themeColor="text1"/>
          <w:szCs w:val="28"/>
        </w:rPr>
        <w:t>4</w:t>
      </w:r>
      <w:r w:rsidR="00042100" w:rsidRPr="00144522">
        <w:rPr>
          <w:b/>
          <w:bCs/>
          <w:color w:val="000000" w:themeColor="text1"/>
          <w:szCs w:val="28"/>
        </w:rPr>
        <w:t>2,</w:t>
      </w:r>
      <w:r w:rsidR="00144522" w:rsidRPr="00144522">
        <w:rPr>
          <w:b/>
          <w:bCs/>
          <w:color w:val="000000" w:themeColor="text1"/>
          <w:szCs w:val="28"/>
        </w:rPr>
        <w:t>73</w:t>
      </w:r>
      <w:r w:rsidRPr="00144522">
        <w:rPr>
          <w:b/>
          <w:bCs/>
          <w:color w:val="000000" w:themeColor="text1"/>
          <w:szCs w:val="28"/>
        </w:rPr>
        <w:t>%</w:t>
      </w:r>
      <w:r w:rsidRPr="00144522">
        <w:rPr>
          <w:color w:val="000000" w:themeColor="text1"/>
          <w:szCs w:val="28"/>
        </w:rPr>
        <w:t xml:space="preserve"> fueron </w:t>
      </w:r>
      <w:r w:rsidRPr="00144522">
        <w:rPr>
          <w:b/>
          <w:bCs/>
          <w:color w:val="000000" w:themeColor="text1"/>
          <w:szCs w:val="28"/>
        </w:rPr>
        <w:t>mujeres</w:t>
      </w:r>
      <w:r w:rsidRPr="00144522">
        <w:rPr>
          <w:color w:val="000000" w:themeColor="text1"/>
          <w:szCs w:val="28"/>
        </w:rPr>
        <w:t xml:space="preserve"> (</w:t>
      </w:r>
      <w:r w:rsidR="00144522" w:rsidRPr="00144522">
        <w:rPr>
          <w:color w:val="000000" w:themeColor="text1"/>
          <w:szCs w:val="28"/>
        </w:rPr>
        <w:t>873.601</w:t>
      </w:r>
      <w:r w:rsidRPr="00144522">
        <w:rPr>
          <w:color w:val="000000" w:themeColor="text1"/>
          <w:szCs w:val="28"/>
        </w:rPr>
        <w:t>).</w:t>
      </w:r>
    </w:p>
    <w:p w14:paraId="2707C582" w14:textId="5E96C7DA" w:rsidR="00FC63A6" w:rsidRPr="00FF5B0F" w:rsidRDefault="00FC63A6" w:rsidP="0098676D">
      <w:pPr>
        <w:pStyle w:val="Sangradetextonormal"/>
        <w:spacing w:after="240"/>
        <w:ind w:left="-567"/>
        <w:rPr>
          <w:color w:val="FF0000"/>
          <w:szCs w:val="28"/>
        </w:rPr>
      </w:pPr>
    </w:p>
    <w:p w14:paraId="3FCD5B35" w14:textId="4430C38A" w:rsidR="007326B3" w:rsidRDefault="007326B3" w:rsidP="007326B3">
      <w:pPr>
        <w:pStyle w:val="Sangradetextonormal"/>
        <w:spacing w:after="240"/>
        <w:ind w:left="-709"/>
        <w:rPr>
          <w:b/>
          <w:color w:val="FF0000"/>
          <w:szCs w:val="28"/>
        </w:rPr>
      </w:pPr>
      <w:r>
        <w:rPr>
          <w:b/>
          <w:noProof/>
          <w:color w:val="FF0000"/>
          <w:sz w:val="32"/>
        </w:rPr>
        <w:lastRenderedPageBreak/>
        <w:drawing>
          <wp:inline distT="0" distB="0" distL="0" distR="0" wp14:anchorId="1DCA6352" wp14:editId="2486D3BE">
            <wp:extent cx="4787900" cy="3156045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15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F88FE" w14:textId="2A1341BB" w:rsidR="00FC63A6" w:rsidRPr="00C63622" w:rsidRDefault="00FC63A6" w:rsidP="00FC63A6">
      <w:pPr>
        <w:pStyle w:val="Sangradetextonormal"/>
        <w:spacing w:after="240"/>
        <w:ind w:left="0"/>
        <w:rPr>
          <w:b/>
          <w:color w:val="000000" w:themeColor="text1"/>
          <w:szCs w:val="28"/>
        </w:rPr>
      </w:pPr>
      <w:r w:rsidRPr="00C63622">
        <w:rPr>
          <w:b/>
          <w:color w:val="000000" w:themeColor="text1"/>
          <w:szCs w:val="28"/>
        </w:rPr>
        <w:t xml:space="preserve">Afiliación media mensual </w:t>
      </w:r>
    </w:p>
    <w:p w14:paraId="29269D39" w14:textId="40F7A31A" w:rsidR="0092515A" w:rsidRPr="00C41263" w:rsidRDefault="00FC63A6" w:rsidP="0092515A">
      <w:pPr>
        <w:pStyle w:val="Sangradetextonormal"/>
        <w:spacing w:after="240"/>
        <w:ind w:left="0"/>
        <w:rPr>
          <w:color w:val="FF0000"/>
          <w:szCs w:val="28"/>
        </w:rPr>
      </w:pPr>
      <w:r w:rsidRPr="00C63622">
        <w:rPr>
          <w:color w:val="000000" w:themeColor="text1"/>
          <w:szCs w:val="28"/>
        </w:rPr>
        <w:t xml:space="preserve">Los datos de afiliación media de extranjeros reflejan en </w:t>
      </w:r>
      <w:r w:rsidR="00A01331" w:rsidRPr="00C63622">
        <w:rPr>
          <w:color w:val="000000" w:themeColor="text1"/>
          <w:szCs w:val="28"/>
        </w:rPr>
        <w:t>enero</w:t>
      </w:r>
      <w:r w:rsidR="00BF2A5F" w:rsidRPr="00C63622">
        <w:rPr>
          <w:color w:val="000000" w:themeColor="text1"/>
          <w:szCs w:val="28"/>
        </w:rPr>
        <w:t xml:space="preserve"> </w:t>
      </w:r>
      <w:r w:rsidR="00A0052E" w:rsidRPr="00C63622">
        <w:rPr>
          <w:color w:val="000000" w:themeColor="text1"/>
          <w:szCs w:val="28"/>
        </w:rPr>
        <w:t xml:space="preserve">un </w:t>
      </w:r>
      <w:r w:rsidR="00A01331" w:rsidRPr="00C63622">
        <w:rPr>
          <w:color w:val="000000" w:themeColor="text1"/>
          <w:szCs w:val="28"/>
        </w:rPr>
        <w:t xml:space="preserve">descenso </w:t>
      </w:r>
      <w:r w:rsidRPr="00C63622">
        <w:rPr>
          <w:color w:val="000000" w:themeColor="text1"/>
          <w:szCs w:val="28"/>
        </w:rPr>
        <w:t>de</w:t>
      </w:r>
      <w:r w:rsidRPr="00C63622">
        <w:rPr>
          <w:b/>
          <w:bCs/>
          <w:color w:val="000000" w:themeColor="text1"/>
          <w:szCs w:val="28"/>
        </w:rPr>
        <w:t xml:space="preserve"> </w:t>
      </w:r>
      <w:r w:rsidR="00E75344">
        <w:rPr>
          <w:b/>
          <w:bCs/>
          <w:color w:val="000000" w:themeColor="text1"/>
          <w:szCs w:val="28"/>
        </w:rPr>
        <w:t>33.967</w:t>
      </w:r>
      <w:r w:rsidRPr="00E81C6A">
        <w:rPr>
          <w:color w:val="000000" w:themeColor="text1"/>
          <w:szCs w:val="28"/>
        </w:rPr>
        <w:t xml:space="preserve"> </w:t>
      </w:r>
      <w:r w:rsidR="00ED2636" w:rsidRPr="00E81C6A">
        <w:rPr>
          <w:b/>
          <w:color w:val="000000" w:themeColor="text1"/>
          <w:szCs w:val="28"/>
        </w:rPr>
        <w:t>ocupados</w:t>
      </w:r>
      <w:r w:rsidR="00ED2636" w:rsidRPr="00E81C6A">
        <w:rPr>
          <w:color w:val="000000" w:themeColor="text1"/>
          <w:szCs w:val="28"/>
        </w:rPr>
        <w:t xml:space="preserve"> en términos mensuales. </w:t>
      </w:r>
      <w:r w:rsidR="005545A2">
        <w:rPr>
          <w:color w:val="000000" w:themeColor="text1"/>
          <w:szCs w:val="28"/>
        </w:rPr>
        <w:t xml:space="preserve">Solo la comunidad autónoma de </w:t>
      </w:r>
      <w:r w:rsidR="00E41CC1" w:rsidRPr="00E81C6A">
        <w:rPr>
          <w:color w:val="000000" w:themeColor="text1"/>
          <w:szCs w:val="28"/>
        </w:rPr>
        <w:t>Andalucía</w:t>
      </w:r>
      <w:r w:rsidR="005545A2">
        <w:rPr>
          <w:color w:val="000000" w:themeColor="text1"/>
          <w:szCs w:val="28"/>
        </w:rPr>
        <w:t xml:space="preserve"> sumó afiliados</w:t>
      </w:r>
      <w:r w:rsidR="00E41CC1" w:rsidRPr="00E81C6A">
        <w:rPr>
          <w:color w:val="000000" w:themeColor="text1"/>
          <w:szCs w:val="28"/>
        </w:rPr>
        <w:t xml:space="preserve"> (</w:t>
      </w:r>
      <w:r w:rsidR="005545A2">
        <w:rPr>
          <w:color w:val="000000" w:themeColor="text1"/>
          <w:szCs w:val="28"/>
        </w:rPr>
        <w:t>0,89</w:t>
      </w:r>
      <w:r w:rsidR="00E10101">
        <w:rPr>
          <w:color w:val="000000" w:themeColor="text1"/>
          <w:szCs w:val="28"/>
        </w:rPr>
        <w:t>%)</w:t>
      </w:r>
      <w:r w:rsidR="005545A2">
        <w:rPr>
          <w:color w:val="000000" w:themeColor="text1"/>
          <w:szCs w:val="28"/>
        </w:rPr>
        <w:t xml:space="preserve">. </w:t>
      </w:r>
      <w:r w:rsidR="00E41CC1" w:rsidRPr="00E81C6A">
        <w:rPr>
          <w:color w:val="000000" w:themeColor="text1"/>
          <w:szCs w:val="28"/>
        </w:rPr>
        <w:t>En las demás</w:t>
      </w:r>
      <w:r w:rsidR="00ED2636" w:rsidRPr="00E81C6A">
        <w:rPr>
          <w:color w:val="000000" w:themeColor="text1"/>
          <w:szCs w:val="28"/>
        </w:rPr>
        <w:t xml:space="preserve"> </w:t>
      </w:r>
      <w:r w:rsidR="0031568D" w:rsidRPr="00E81C6A">
        <w:rPr>
          <w:color w:val="000000" w:themeColor="text1"/>
          <w:szCs w:val="28"/>
        </w:rPr>
        <w:t xml:space="preserve">se registraron </w:t>
      </w:r>
      <w:r w:rsidR="005545A2">
        <w:rPr>
          <w:color w:val="000000" w:themeColor="text1"/>
          <w:szCs w:val="28"/>
        </w:rPr>
        <w:t>descensos en la ocupación</w:t>
      </w:r>
      <w:r w:rsidR="00ED2636" w:rsidRPr="00E81C6A">
        <w:rPr>
          <w:color w:val="000000" w:themeColor="text1"/>
          <w:szCs w:val="28"/>
        </w:rPr>
        <w:t xml:space="preserve">, </w:t>
      </w:r>
      <w:r w:rsidR="00E41CC1" w:rsidRPr="00E81C6A">
        <w:rPr>
          <w:color w:val="000000" w:themeColor="text1"/>
          <w:szCs w:val="28"/>
        </w:rPr>
        <w:t>especialmente en</w:t>
      </w:r>
      <w:r w:rsidR="00E81C6A" w:rsidRPr="00E81C6A">
        <w:rPr>
          <w:color w:val="000000" w:themeColor="text1"/>
          <w:szCs w:val="28"/>
        </w:rPr>
        <w:t xml:space="preserve"> </w:t>
      </w:r>
      <w:r w:rsidR="005545A2">
        <w:rPr>
          <w:color w:val="000000" w:themeColor="text1"/>
          <w:szCs w:val="28"/>
        </w:rPr>
        <w:t>Extremadura</w:t>
      </w:r>
      <w:r w:rsidR="00E81C6A" w:rsidRPr="00E81C6A">
        <w:rPr>
          <w:color w:val="000000" w:themeColor="text1"/>
          <w:szCs w:val="28"/>
        </w:rPr>
        <w:t xml:space="preserve"> (-</w:t>
      </w:r>
      <w:r w:rsidR="005545A2">
        <w:rPr>
          <w:color w:val="000000" w:themeColor="text1"/>
          <w:szCs w:val="28"/>
        </w:rPr>
        <w:t>4,33</w:t>
      </w:r>
      <w:r w:rsidR="00E81C6A" w:rsidRPr="00E81C6A">
        <w:rPr>
          <w:color w:val="000000" w:themeColor="text1"/>
          <w:szCs w:val="28"/>
        </w:rPr>
        <w:t>%)</w:t>
      </w:r>
      <w:r w:rsidR="005545A2">
        <w:rPr>
          <w:color w:val="000000" w:themeColor="text1"/>
          <w:szCs w:val="28"/>
        </w:rPr>
        <w:t>, Comunidad Valenciana (-3,88%),</w:t>
      </w:r>
      <w:r w:rsidR="00E81C6A" w:rsidRPr="00E81C6A">
        <w:rPr>
          <w:color w:val="000000" w:themeColor="text1"/>
          <w:szCs w:val="28"/>
        </w:rPr>
        <w:t xml:space="preserve"> </w:t>
      </w:r>
      <w:r w:rsidR="005545A2">
        <w:rPr>
          <w:color w:val="000000" w:themeColor="text1"/>
          <w:szCs w:val="28"/>
        </w:rPr>
        <w:t>Castilla-La Mancha</w:t>
      </w:r>
      <w:r w:rsidR="00BF2A5F" w:rsidRPr="00E81C6A">
        <w:rPr>
          <w:color w:val="000000" w:themeColor="text1"/>
          <w:szCs w:val="28"/>
        </w:rPr>
        <w:t xml:space="preserve"> (-</w:t>
      </w:r>
      <w:r w:rsidR="005545A2">
        <w:rPr>
          <w:color w:val="000000" w:themeColor="text1"/>
          <w:szCs w:val="28"/>
        </w:rPr>
        <w:t>2,91</w:t>
      </w:r>
      <w:r w:rsidR="00BF2A5F" w:rsidRPr="00E81C6A">
        <w:rPr>
          <w:color w:val="000000" w:themeColor="text1"/>
          <w:szCs w:val="28"/>
        </w:rPr>
        <w:t>%)</w:t>
      </w:r>
      <w:r w:rsidR="005545A2">
        <w:rPr>
          <w:color w:val="000000" w:themeColor="text1"/>
          <w:szCs w:val="28"/>
        </w:rPr>
        <w:t>, Castilla</w:t>
      </w:r>
      <w:r w:rsidR="00E10101">
        <w:rPr>
          <w:color w:val="000000" w:themeColor="text1"/>
          <w:szCs w:val="28"/>
        </w:rPr>
        <w:t xml:space="preserve"> y</w:t>
      </w:r>
      <w:r w:rsidR="005545A2">
        <w:rPr>
          <w:color w:val="000000" w:themeColor="text1"/>
          <w:szCs w:val="28"/>
        </w:rPr>
        <w:t xml:space="preserve"> León (-2,59%) y Baleares (-2,40%).</w:t>
      </w:r>
    </w:p>
    <w:p w14:paraId="0016B7F7" w14:textId="337615C5" w:rsidR="00DE75BC" w:rsidRPr="00666194" w:rsidRDefault="00DE75BC" w:rsidP="00DE75BC">
      <w:pPr>
        <w:pStyle w:val="Sangradetextonormal"/>
        <w:spacing w:after="240"/>
        <w:ind w:left="0"/>
        <w:rPr>
          <w:color w:val="000000" w:themeColor="text1"/>
          <w:szCs w:val="28"/>
        </w:rPr>
      </w:pPr>
      <w:r w:rsidRPr="00666194">
        <w:rPr>
          <w:color w:val="000000" w:themeColor="text1"/>
          <w:szCs w:val="28"/>
        </w:rPr>
        <w:t>Por regímenes, la mayoría de los</w:t>
      </w:r>
      <w:r w:rsidR="00ED2636" w:rsidRPr="00666194">
        <w:rPr>
          <w:color w:val="000000" w:themeColor="text1"/>
          <w:szCs w:val="28"/>
        </w:rPr>
        <w:t xml:space="preserve"> </w:t>
      </w:r>
      <w:r w:rsidRPr="00666194">
        <w:rPr>
          <w:color w:val="000000" w:themeColor="text1"/>
          <w:szCs w:val="28"/>
        </w:rPr>
        <w:t xml:space="preserve">extranjeros se encuadró en el </w:t>
      </w:r>
      <w:r w:rsidRPr="00666194">
        <w:rPr>
          <w:b/>
          <w:bCs/>
          <w:color w:val="000000" w:themeColor="text1"/>
          <w:szCs w:val="28"/>
        </w:rPr>
        <w:t>Régimen</w:t>
      </w:r>
      <w:r w:rsidRPr="00666194">
        <w:rPr>
          <w:color w:val="000000" w:themeColor="text1"/>
          <w:szCs w:val="28"/>
        </w:rPr>
        <w:t xml:space="preserve"> </w:t>
      </w:r>
      <w:r w:rsidRPr="00666194">
        <w:rPr>
          <w:b/>
          <w:bCs/>
          <w:color w:val="000000" w:themeColor="text1"/>
          <w:szCs w:val="28"/>
        </w:rPr>
        <w:t>General</w:t>
      </w:r>
      <w:r w:rsidRPr="00666194">
        <w:rPr>
          <w:color w:val="000000" w:themeColor="text1"/>
          <w:szCs w:val="28"/>
        </w:rPr>
        <w:t xml:space="preserve">, con </w:t>
      </w:r>
      <w:r w:rsidRPr="00666194">
        <w:rPr>
          <w:b/>
          <w:bCs/>
          <w:color w:val="000000" w:themeColor="text1"/>
          <w:szCs w:val="28"/>
        </w:rPr>
        <w:t>1.</w:t>
      </w:r>
      <w:r w:rsidR="00666194" w:rsidRPr="00666194">
        <w:rPr>
          <w:b/>
          <w:bCs/>
          <w:color w:val="000000" w:themeColor="text1"/>
          <w:szCs w:val="28"/>
        </w:rPr>
        <w:t>677.221</w:t>
      </w:r>
      <w:r w:rsidR="0017131F" w:rsidRPr="00666194">
        <w:rPr>
          <w:color w:val="000000" w:themeColor="text1"/>
          <w:szCs w:val="28"/>
        </w:rPr>
        <w:t xml:space="preserve">, que </w:t>
      </w:r>
      <w:r w:rsidRPr="00666194">
        <w:rPr>
          <w:color w:val="000000" w:themeColor="text1"/>
          <w:szCs w:val="28"/>
        </w:rPr>
        <w:t xml:space="preserve">incluye el Sistema Especial Agrario, con </w:t>
      </w:r>
      <w:r w:rsidR="00BA58A8" w:rsidRPr="00666194">
        <w:rPr>
          <w:color w:val="000000" w:themeColor="text1"/>
          <w:szCs w:val="28"/>
        </w:rPr>
        <w:t>232.</w:t>
      </w:r>
      <w:r w:rsidR="00666194" w:rsidRPr="00666194">
        <w:rPr>
          <w:color w:val="000000" w:themeColor="text1"/>
          <w:szCs w:val="28"/>
        </w:rPr>
        <w:t>142</w:t>
      </w:r>
      <w:r w:rsidRPr="00666194">
        <w:rPr>
          <w:color w:val="000000" w:themeColor="text1"/>
          <w:szCs w:val="28"/>
        </w:rPr>
        <w:t xml:space="preserve"> ocupados, y el de Hogar, con </w:t>
      </w:r>
      <w:r w:rsidR="006D35D1" w:rsidRPr="00666194">
        <w:rPr>
          <w:color w:val="000000" w:themeColor="text1"/>
          <w:szCs w:val="28"/>
        </w:rPr>
        <w:t>16</w:t>
      </w:r>
      <w:r w:rsidR="00BA58A8" w:rsidRPr="00666194">
        <w:rPr>
          <w:color w:val="000000" w:themeColor="text1"/>
          <w:szCs w:val="28"/>
        </w:rPr>
        <w:t>3</w:t>
      </w:r>
      <w:r w:rsidR="0088431A" w:rsidRPr="00666194">
        <w:rPr>
          <w:color w:val="000000" w:themeColor="text1"/>
          <w:szCs w:val="28"/>
        </w:rPr>
        <w:t>.</w:t>
      </w:r>
      <w:r w:rsidR="00666194" w:rsidRPr="00666194">
        <w:rPr>
          <w:color w:val="000000" w:themeColor="text1"/>
          <w:szCs w:val="28"/>
        </w:rPr>
        <w:t>525</w:t>
      </w:r>
      <w:r w:rsidRPr="00666194">
        <w:rPr>
          <w:color w:val="000000" w:themeColor="text1"/>
          <w:szCs w:val="28"/>
        </w:rPr>
        <w:t xml:space="preserve">. Le siguieron el Régimen de </w:t>
      </w:r>
      <w:r w:rsidR="00B535F5" w:rsidRPr="00666194">
        <w:rPr>
          <w:color w:val="000000" w:themeColor="text1"/>
          <w:szCs w:val="28"/>
        </w:rPr>
        <w:t xml:space="preserve">Trabajadores </w:t>
      </w:r>
      <w:r w:rsidRPr="00666194">
        <w:rPr>
          <w:b/>
          <w:bCs/>
          <w:color w:val="000000" w:themeColor="text1"/>
          <w:szCs w:val="28"/>
        </w:rPr>
        <w:t>Autónomos</w:t>
      </w:r>
      <w:r w:rsidRPr="00666194">
        <w:rPr>
          <w:color w:val="000000" w:themeColor="text1"/>
          <w:szCs w:val="28"/>
        </w:rPr>
        <w:t xml:space="preserve"> con </w:t>
      </w:r>
      <w:r w:rsidR="00666194" w:rsidRPr="00666194">
        <w:rPr>
          <w:b/>
          <w:bCs/>
          <w:color w:val="000000" w:themeColor="text1"/>
          <w:szCs w:val="28"/>
        </w:rPr>
        <w:t>363.749</w:t>
      </w:r>
      <w:r w:rsidRPr="00666194">
        <w:rPr>
          <w:b/>
          <w:bCs/>
          <w:color w:val="000000" w:themeColor="text1"/>
          <w:szCs w:val="28"/>
        </w:rPr>
        <w:t xml:space="preserve"> afiliados</w:t>
      </w:r>
      <w:r w:rsidR="0017131F" w:rsidRPr="00666194">
        <w:rPr>
          <w:color w:val="000000" w:themeColor="text1"/>
          <w:szCs w:val="28"/>
        </w:rPr>
        <w:t xml:space="preserve">; </w:t>
      </w:r>
      <w:r w:rsidRPr="00666194">
        <w:rPr>
          <w:color w:val="000000" w:themeColor="text1"/>
          <w:szCs w:val="28"/>
        </w:rPr>
        <w:t xml:space="preserve">el Régimen Especial del Mar, con </w:t>
      </w:r>
      <w:r w:rsidR="00BA58A8" w:rsidRPr="00666194">
        <w:rPr>
          <w:color w:val="000000" w:themeColor="text1"/>
          <w:szCs w:val="28"/>
        </w:rPr>
        <w:t>3.</w:t>
      </w:r>
      <w:r w:rsidR="00666194" w:rsidRPr="00666194">
        <w:rPr>
          <w:color w:val="000000" w:themeColor="text1"/>
          <w:szCs w:val="28"/>
        </w:rPr>
        <w:t>666</w:t>
      </w:r>
      <w:r w:rsidRPr="00666194">
        <w:rPr>
          <w:color w:val="000000" w:themeColor="text1"/>
          <w:szCs w:val="28"/>
        </w:rPr>
        <w:t>, y el del Carbón, con 3</w:t>
      </w:r>
      <w:r w:rsidR="00666194" w:rsidRPr="00666194">
        <w:rPr>
          <w:color w:val="000000" w:themeColor="text1"/>
          <w:szCs w:val="28"/>
        </w:rPr>
        <w:t>3</w:t>
      </w:r>
      <w:r w:rsidRPr="00666194">
        <w:rPr>
          <w:color w:val="000000" w:themeColor="text1"/>
          <w:szCs w:val="28"/>
        </w:rPr>
        <w:t xml:space="preserve">. </w:t>
      </w:r>
    </w:p>
    <w:p w14:paraId="3D109642" w14:textId="79DA0BE4" w:rsidR="00BA7B01" w:rsidRPr="0024722E" w:rsidRDefault="0031568D" w:rsidP="00C41263">
      <w:pPr>
        <w:pStyle w:val="Sangradetextonormal"/>
        <w:spacing w:before="120" w:after="240"/>
        <w:ind w:left="0"/>
        <w:rPr>
          <w:color w:val="000000" w:themeColor="text1"/>
          <w:szCs w:val="28"/>
        </w:rPr>
      </w:pPr>
      <w:r w:rsidRPr="00551B3E">
        <w:rPr>
          <w:color w:val="000000" w:themeColor="text1"/>
          <w:szCs w:val="28"/>
        </w:rPr>
        <w:t xml:space="preserve">El </w:t>
      </w:r>
      <w:r w:rsidRPr="00551B3E">
        <w:rPr>
          <w:b/>
          <w:bCs/>
          <w:color w:val="000000" w:themeColor="text1"/>
          <w:szCs w:val="28"/>
        </w:rPr>
        <w:t>Régimen General</w:t>
      </w:r>
      <w:r w:rsidRPr="00551B3E">
        <w:rPr>
          <w:color w:val="000000" w:themeColor="text1"/>
          <w:szCs w:val="28"/>
        </w:rPr>
        <w:t xml:space="preserve"> marcó</w:t>
      </w:r>
      <w:r w:rsidRPr="00551B3E">
        <w:rPr>
          <w:b/>
          <w:bCs/>
          <w:color w:val="000000" w:themeColor="text1"/>
          <w:szCs w:val="28"/>
        </w:rPr>
        <w:t xml:space="preserve"> </w:t>
      </w:r>
      <w:r w:rsidRPr="00551B3E">
        <w:rPr>
          <w:color w:val="000000" w:themeColor="text1"/>
          <w:szCs w:val="28"/>
        </w:rPr>
        <w:t xml:space="preserve">de media en el mes un </w:t>
      </w:r>
      <w:r w:rsidR="00551B3E" w:rsidRPr="00551B3E">
        <w:rPr>
          <w:b/>
          <w:bCs/>
          <w:color w:val="000000" w:themeColor="text1"/>
          <w:szCs w:val="28"/>
        </w:rPr>
        <w:t>1,92%</w:t>
      </w:r>
      <w:r w:rsidRPr="00551B3E">
        <w:rPr>
          <w:b/>
          <w:bCs/>
          <w:color w:val="000000" w:themeColor="text1"/>
          <w:szCs w:val="28"/>
        </w:rPr>
        <w:t xml:space="preserve"> </w:t>
      </w:r>
      <w:r w:rsidR="000564B4" w:rsidRPr="00551B3E">
        <w:rPr>
          <w:b/>
          <w:bCs/>
          <w:color w:val="000000" w:themeColor="text1"/>
          <w:szCs w:val="28"/>
        </w:rPr>
        <w:t>menos</w:t>
      </w:r>
      <w:r w:rsidRPr="00551B3E">
        <w:rPr>
          <w:color w:val="000000" w:themeColor="text1"/>
          <w:szCs w:val="28"/>
        </w:rPr>
        <w:t xml:space="preserve"> de afiliados extranjeros. Entre los sectores con un comportamiento positivo, destacan </w:t>
      </w:r>
      <w:r w:rsidR="00BA7B01" w:rsidRPr="00551B3E">
        <w:rPr>
          <w:b/>
          <w:color w:val="000000" w:themeColor="text1"/>
          <w:szCs w:val="28"/>
        </w:rPr>
        <w:t xml:space="preserve">Suministro de Energía </w:t>
      </w:r>
      <w:r w:rsidR="00BA7B01" w:rsidRPr="00BA7B01">
        <w:rPr>
          <w:b/>
          <w:color w:val="000000" w:themeColor="text1"/>
          <w:szCs w:val="28"/>
        </w:rPr>
        <w:t xml:space="preserve">Eléctrica, Gas, Vapor y Aire Acondicionado </w:t>
      </w:r>
      <w:r w:rsidR="00BA7B01" w:rsidRPr="00BA7B01">
        <w:rPr>
          <w:color w:val="000000" w:themeColor="text1"/>
          <w:szCs w:val="28"/>
        </w:rPr>
        <w:t xml:space="preserve">con el 2,71% más; </w:t>
      </w:r>
      <w:r w:rsidR="00BA7B01" w:rsidRPr="00BA7B01">
        <w:rPr>
          <w:b/>
          <w:color w:val="000000" w:themeColor="text1"/>
          <w:szCs w:val="28"/>
        </w:rPr>
        <w:t>Actividades Financieras y de Seguros</w:t>
      </w:r>
      <w:r w:rsidR="00BA7B01" w:rsidRPr="00BA7B01">
        <w:rPr>
          <w:color w:val="000000" w:themeColor="text1"/>
          <w:szCs w:val="28"/>
        </w:rPr>
        <w:t xml:space="preserve"> (1,32%) e </w:t>
      </w:r>
      <w:r w:rsidR="00BA7B01" w:rsidRPr="00BA7B01">
        <w:rPr>
          <w:b/>
          <w:color w:val="000000" w:themeColor="text1"/>
          <w:szCs w:val="28"/>
        </w:rPr>
        <w:t>Información y Comunicaciones</w:t>
      </w:r>
      <w:r w:rsidR="00BA7B01" w:rsidRPr="00BA7B01">
        <w:rPr>
          <w:color w:val="000000" w:themeColor="text1"/>
          <w:szCs w:val="28"/>
        </w:rPr>
        <w:t xml:space="preserve"> (0,20%)</w:t>
      </w:r>
      <w:r w:rsidRPr="00BA7B01">
        <w:rPr>
          <w:color w:val="000000" w:themeColor="text1"/>
          <w:szCs w:val="28"/>
        </w:rPr>
        <w:t xml:space="preserve">. Por el contrario, los sectores que perdieron más afiliados fueron </w:t>
      </w:r>
      <w:r w:rsidR="00BA7B01" w:rsidRPr="00BA7B01">
        <w:rPr>
          <w:color w:val="000000" w:themeColor="text1"/>
          <w:szCs w:val="28"/>
        </w:rPr>
        <w:t>Hostelería (-</w:t>
      </w:r>
      <w:r w:rsidR="00BA7B01" w:rsidRPr="00BA7B01">
        <w:rPr>
          <w:color w:val="000000" w:themeColor="text1"/>
          <w:szCs w:val="28"/>
        </w:rPr>
        <w:lastRenderedPageBreak/>
        <w:t xml:space="preserve">4,64%), </w:t>
      </w:r>
      <w:r w:rsidR="00166D44">
        <w:rPr>
          <w:color w:val="000000" w:themeColor="text1"/>
          <w:szCs w:val="28"/>
        </w:rPr>
        <w:t xml:space="preserve">Construcción (-3,72%), </w:t>
      </w:r>
      <w:r w:rsidR="00BA7B01" w:rsidRPr="00BA7B01">
        <w:rPr>
          <w:color w:val="000000" w:themeColor="text1"/>
          <w:szCs w:val="28"/>
        </w:rPr>
        <w:t>Actividades Administrativas y Servicios Auxiliares (-3,65%), Actividades de Organizaciones y Organismos Extraterritoriales (-2,81%) y Otros Servicios (-2,</w:t>
      </w:r>
      <w:r w:rsidR="00BA7B01" w:rsidRPr="0024722E">
        <w:rPr>
          <w:color w:val="000000" w:themeColor="text1"/>
          <w:szCs w:val="28"/>
        </w:rPr>
        <w:t>58%)</w:t>
      </w:r>
    </w:p>
    <w:p w14:paraId="619053EE" w14:textId="3C4EFB6F" w:rsidR="005779C3" w:rsidRPr="00FF5B0F" w:rsidRDefault="00BA7B01" w:rsidP="00BA7B01">
      <w:pPr>
        <w:pStyle w:val="Sangradetextonormal"/>
        <w:spacing w:before="120" w:after="240"/>
        <w:rPr>
          <w:color w:val="FF0000"/>
          <w:szCs w:val="28"/>
        </w:rPr>
      </w:pPr>
      <w:r>
        <w:rPr>
          <w:b/>
          <w:noProof/>
          <w:sz w:val="24"/>
        </w:rPr>
        <w:drawing>
          <wp:inline distT="0" distB="0" distL="0" distR="0" wp14:anchorId="6209761B" wp14:editId="59B45CD6">
            <wp:extent cx="4787900" cy="34811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4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7D3A7" w14:textId="0F396E59" w:rsidR="00500887" w:rsidRPr="00551B3E" w:rsidRDefault="00500887" w:rsidP="00BE53EA">
      <w:pPr>
        <w:pStyle w:val="Sangradetextonormal"/>
        <w:spacing w:before="120" w:after="240"/>
        <w:ind w:left="0"/>
        <w:rPr>
          <w:color w:val="000000" w:themeColor="text1"/>
          <w:szCs w:val="28"/>
        </w:rPr>
      </w:pPr>
      <w:r w:rsidRPr="00551B3E">
        <w:rPr>
          <w:color w:val="000000" w:themeColor="text1"/>
          <w:szCs w:val="28"/>
        </w:rPr>
        <w:t xml:space="preserve">Mención aparte merecen los Sistemas Especiales que integran el Régimen General, en concreto el Agrario que en </w:t>
      </w:r>
      <w:r w:rsidR="0086379C" w:rsidRPr="00551B3E">
        <w:rPr>
          <w:color w:val="000000" w:themeColor="text1"/>
          <w:szCs w:val="28"/>
        </w:rPr>
        <w:t>diciembre</w:t>
      </w:r>
      <w:r w:rsidRPr="00551B3E">
        <w:rPr>
          <w:color w:val="000000" w:themeColor="text1"/>
          <w:szCs w:val="28"/>
        </w:rPr>
        <w:t xml:space="preserve"> registró </w:t>
      </w:r>
      <w:r w:rsidR="00551B3E" w:rsidRPr="00551B3E">
        <w:rPr>
          <w:color w:val="000000" w:themeColor="text1"/>
          <w:szCs w:val="28"/>
        </w:rPr>
        <w:t>un 0,36% menos</w:t>
      </w:r>
      <w:r w:rsidRPr="00551B3E">
        <w:rPr>
          <w:color w:val="000000" w:themeColor="text1"/>
          <w:szCs w:val="28"/>
        </w:rPr>
        <w:t xml:space="preserve">, y Hogar que </w:t>
      </w:r>
      <w:r w:rsidR="00551B3E" w:rsidRPr="00551B3E">
        <w:rPr>
          <w:color w:val="000000" w:themeColor="text1"/>
          <w:szCs w:val="28"/>
        </w:rPr>
        <w:t>bajó</w:t>
      </w:r>
      <w:r w:rsidRPr="00551B3E">
        <w:rPr>
          <w:color w:val="000000" w:themeColor="text1"/>
          <w:szCs w:val="28"/>
        </w:rPr>
        <w:t xml:space="preserve"> </w:t>
      </w:r>
      <w:r w:rsidR="00551B3E" w:rsidRPr="00551B3E">
        <w:rPr>
          <w:color w:val="000000" w:themeColor="text1"/>
          <w:szCs w:val="28"/>
        </w:rPr>
        <w:t>un</w:t>
      </w:r>
      <w:r w:rsidRPr="00551B3E">
        <w:rPr>
          <w:color w:val="000000" w:themeColor="text1"/>
          <w:szCs w:val="28"/>
        </w:rPr>
        <w:t xml:space="preserve"> </w:t>
      </w:r>
      <w:r w:rsidR="00D27384" w:rsidRPr="00551B3E">
        <w:rPr>
          <w:color w:val="000000" w:themeColor="text1"/>
          <w:szCs w:val="28"/>
        </w:rPr>
        <w:t>0,</w:t>
      </w:r>
      <w:r w:rsidR="00551B3E" w:rsidRPr="00551B3E">
        <w:rPr>
          <w:color w:val="000000" w:themeColor="text1"/>
          <w:szCs w:val="28"/>
        </w:rPr>
        <w:t>05</w:t>
      </w:r>
      <w:r w:rsidRPr="00551B3E">
        <w:rPr>
          <w:color w:val="000000" w:themeColor="text1"/>
          <w:szCs w:val="28"/>
        </w:rPr>
        <w:t>%.</w:t>
      </w:r>
    </w:p>
    <w:p w14:paraId="30549A1A" w14:textId="404EF843" w:rsidR="008A3273" w:rsidRPr="00A61A21" w:rsidRDefault="00FC63A6" w:rsidP="00FC63A6">
      <w:pPr>
        <w:pStyle w:val="Sangradetextonormal"/>
        <w:spacing w:after="240"/>
        <w:ind w:left="0"/>
        <w:rPr>
          <w:color w:val="000000" w:themeColor="text1"/>
          <w:szCs w:val="28"/>
        </w:rPr>
      </w:pPr>
      <w:r w:rsidRPr="00A61A21">
        <w:rPr>
          <w:color w:val="000000" w:themeColor="text1"/>
          <w:szCs w:val="28"/>
        </w:rPr>
        <w:t xml:space="preserve">El número de extranjeros inscritos en el </w:t>
      </w:r>
      <w:r w:rsidRPr="00A61A21">
        <w:rPr>
          <w:b/>
          <w:bCs/>
          <w:color w:val="000000" w:themeColor="text1"/>
          <w:szCs w:val="28"/>
        </w:rPr>
        <w:t>Régimen Especial de Autónomos</w:t>
      </w:r>
      <w:r w:rsidRPr="00A61A21">
        <w:rPr>
          <w:color w:val="000000" w:themeColor="text1"/>
          <w:szCs w:val="28"/>
        </w:rPr>
        <w:t xml:space="preserve"> </w:t>
      </w:r>
      <w:r w:rsidR="00A61A21" w:rsidRPr="00A61A21">
        <w:rPr>
          <w:b/>
          <w:bCs/>
          <w:color w:val="000000" w:themeColor="text1"/>
          <w:szCs w:val="28"/>
        </w:rPr>
        <w:t>bajó</w:t>
      </w:r>
      <w:r w:rsidRPr="00A61A21">
        <w:rPr>
          <w:color w:val="000000" w:themeColor="text1"/>
          <w:szCs w:val="28"/>
        </w:rPr>
        <w:t xml:space="preserve"> un </w:t>
      </w:r>
      <w:r w:rsidRPr="00A61A21">
        <w:rPr>
          <w:b/>
          <w:bCs/>
          <w:color w:val="000000" w:themeColor="text1"/>
          <w:szCs w:val="28"/>
        </w:rPr>
        <w:t>0,</w:t>
      </w:r>
      <w:r w:rsidR="00A61A21" w:rsidRPr="00A61A21">
        <w:rPr>
          <w:b/>
          <w:bCs/>
          <w:color w:val="000000" w:themeColor="text1"/>
          <w:szCs w:val="28"/>
        </w:rPr>
        <w:t>29</w:t>
      </w:r>
      <w:r w:rsidRPr="00A61A21">
        <w:rPr>
          <w:b/>
          <w:bCs/>
          <w:color w:val="000000" w:themeColor="text1"/>
          <w:szCs w:val="28"/>
        </w:rPr>
        <w:t>%</w:t>
      </w:r>
      <w:r w:rsidRPr="00A61A21">
        <w:rPr>
          <w:color w:val="000000" w:themeColor="text1"/>
          <w:szCs w:val="28"/>
        </w:rPr>
        <w:t xml:space="preserve"> en el último mes</w:t>
      </w:r>
      <w:r w:rsidR="00F96D0C" w:rsidRPr="00A61A21">
        <w:rPr>
          <w:color w:val="000000" w:themeColor="text1"/>
          <w:szCs w:val="28"/>
        </w:rPr>
        <w:t xml:space="preserve">, hasta registrar </w:t>
      </w:r>
      <w:r w:rsidR="00A61A21" w:rsidRPr="00A61A21">
        <w:rPr>
          <w:color w:val="000000" w:themeColor="text1"/>
          <w:szCs w:val="28"/>
        </w:rPr>
        <w:t>363.749</w:t>
      </w:r>
      <w:r w:rsidR="00F96D0C" w:rsidRPr="00A61A21">
        <w:rPr>
          <w:color w:val="000000" w:themeColor="text1"/>
          <w:szCs w:val="28"/>
        </w:rPr>
        <w:t xml:space="preserve"> trabajadores</w:t>
      </w:r>
      <w:r w:rsidRPr="00A61A21">
        <w:rPr>
          <w:color w:val="000000" w:themeColor="text1"/>
          <w:szCs w:val="28"/>
        </w:rPr>
        <w:t>.</w:t>
      </w:r>
    </w:p>
    <w:p w14:paraId="42139E3C" w14:textId="38A8AF0A" w:rsidR="00FC63A6" w:rsidRPr="00A61A21" w:rsidRDefault="00FC63A6" w:rsidP="00FC63A6">
      <w:pPr>
        <w:pStyle w:val="Sangradetextonormal"/>
        <w:spacing w:after="240"/>
        <w:ind w:left="0"/>
        <w:rPr>
          <w:b/>
          <w:color w:val="000000" w:themeColor="text1"/>
          <w:szCs w:val="28"/>
        </w:rPr>
      </w:pPr>
      <w:r w:rsidRPr="00A61A21">
        <w:rPr>
          <w:b/>
          <w:color w:val="000000" w:themeColor="text1"/>
          <w:szCs w:val="28"/>
        </w:rPr>
        <w:t>Variación interanual</w:t>
      </w:r>
    </w:p>
    <w:p w14:paraId="4A87AEE6" w14:textId="054490D8" w:rsidR="00C41263" w:rsidRPr="004E7E7E" w:rsidRDefault="00FC63A6" w:rsidP="00C41263">
      <w:pPr>
        <w:pStyle w:val="Sangradetextonormal"/>
        <w:spacing w:after="240"/>
        <w:ind w:left="0"/>
        <w:rPr>
          <w:color w:val="000000" w:themeColor="text1"/>
          <w:szCs w:val="28"/>
        </w:rPr>
      </w:pPr>
      <w:r w:rsidRPr="00C41263">
        <w:rPr>
          <w:color w:val="000000" w:themeColor="text1"/>
          <w:szCs w:val="28"/>
        </w:rPr>
        <w:t xml:space="preserve">La afiliación media de este colectivo </w:t>
      </w:r>
      <w:r w:rsidR="005339D5" w:rsidRPr="00C41263">
        <w:rPr>
          <w:color w:val="000000" w:themeColor="text1"/>
          <w:szCs w:val="28"/>
        </w:rPr>
        <w:t>registró</w:t>
      </w:r>
      <w:r w:rsidRPr="00C41263">
        <w:rPr>
          <w:color w:val="000000" w:themeColor="text1"/>
          <w:szCs w:val="28"/>
        </w:rPr>
        <w:t xml:space="preserve"> en </w:t>
      </w:r>
      <w:r w:rsidR="00F8455E" w:rsidRPr="00C41263">
        <w:rPr>
          <w:color w:val="000000" w:themeColor="text1"/>
          <w:szCs w:val="28"/>
        </w:rPr>
        <w:t>diciembre</w:t>
      </w:r>
      <w:r w:rsidR="00F452D7" w:rsidRPr="00C41263">
        <w:rPr>
          <w:color w:val="000000" w:themeColor="text1"/>
          <w:szCs w:val="28"/>
        </w:rPr>
        <w:t xml:space="preserve"> </w:t>
      </w:r>
      <w:r w:rsidR="00C41263" w:rsidRPr="00C41263">
        <w:rPr>
          <w:b/>
          <w:bCs/>
          <w:color w:val="000000" w:themeColor="text1"/>
          <w:szCs w:val="28"/>
        </w:rPr>
        <w:t>45.771</w:t>
      </w:r>
      <w:r w:rsidR="00BA3835" w:rsidRPr="00C41263">
        <w:rPr>
          <w:b/>
          <w:bCs/>
          <w:color w:val="000000" w:themeColor="text1"/>
          <w:szCs w:val="28"/>
        </w:rPr>
        <w:t xml:space="preserve"> </w:t>
      </w:r>
      <w:r w:rsidRPr="00C41263">
        <w:rPr>
          <w:b/>
          <w:bCs/>
          <w:color w:val="000000" w:themeColor="text1"/>
          <w:szCs w:val="28"/>
        </w:rPr>
        <w:t>activos</w:t>
      </w:r>
      <w:r w:rsidRPr="00C41263">
        <w:rPr>
          <w:color w:val="000000" w:themeColor="text1"/>
          <w:szCs w:val="28"/>
        </w:rPr>
        <w:t xml:space="preserve"> </w:t>
      </w:r>
      <w:r w:rsidRPr="00C41263">
        <w:rPr>
          <w:b/>
          <w:bCs/>
          <w:color w:val="000000" w:themeColor="text1"/>
          <w:szCs w:val="28"/>
        </w:rPr>
        <w:t>menos</w:t>
      </w:r>
      <w:r w:rsidRPr="00C41263">
        <w:rPr>
          <w:color w:val="000000" w:themeColor="text1"/>
          <w:szCs w:val="28"/>
        </w:rPr>
        <w:t xml:space="preserve"> que </w:t>
      </w:r>
      <w:r w:rsidR="00746DD3" w:rsidRPr="00C41263">
        <w:rPr>
          <w:color w:val="000000" w:themeColor="text1"/>
          <w:szCs w:val="28"/>
        </w:rPr>
        <w:t xml:space="preserve">en el mismo mes que </w:t>
      </w:r>
      <w:r w:rsidR="00B55A3C" w:rsidRPr="00C41263">
        <w:rPr>
          <w:color w:val="000000" w:themeColor="text1"/>
          <w:szCs w:val="28"/>
        </w:rPr>
        <w:t>el</w:t>
      </w:r>
      <w:r w:rsidRPr="00C41263">
        <w:rPr>
          <w:color w:val="000000" w:themeColor="text1"/>
          <w:szCs w:val="28"/>
        </w:rPr>
        <w:t xml:space="preserve"> año pasado (</w:t>
      </w:r>
      <w:r w:rsidR="00B55A3C" w:rsidRPr="00C41263">
        <w:rPr>
          <w:color w:val="000000" w:themeColor="text1"/>
          <w:szCs w:val="28"/>
        </w:rPr>
        <w:t>-</w:t>
      </w:r>
      <w:r w:rsidR="00F452D7" w:rsidRPr="00C41263">
        <w:rPr>
          <w:color w:val="000000" w:themeColor="text1"/>
          <w:szCs w:val="28"/>
        </w:rPr>
        <w:t>2,</w:t>
      </w:r>
      <w:r w:rsidR="00F8455E" w:rsidRPr="00C41263">
        <w:rPr>
          <w:color w:val="000000" w:themeColor="text1"/>
          <w:szCs w:val="28"/>
        </w:rPr>
        <w:t>1</w:t>
      </w:r>
      <w:r w:rsidR="00C41263" w:rsidRPr="00C41263">
        <w:rPr>
          <w:color w:val="000000" w:themeColor="text1"/>
          <w:szCs w:val="28"/>
        </w:rPr>
        <w:t>9</w:t>
      </w:r>
      <w:r w:rsidRPr="00C41263">
        <w:rPr>
          <w:color w:val="000000" w:themeColor="text1"/>
          <w:szCs w:val="28"/>
        </w:rPr>
        <w:t xml:space="preserve">%). </w:t>
      </w:r>
      <w:r w:rsidR="00746DD3" w:rsidRPr="00C41263">
        <w:rPr>
          <w:color w:val="000000" w:themeColor="text1"/>
          <w:szCs w:val="28"/>
        </w:rPr>
        <w:t>A pesar de esta variable, negativa desde el inicio de la pandemi</w:t>
      </w:r>
      <w:r w:rsidR="00E10101">
        <w:rPr>
          <w:color w:val="000000" w:themeColor="text1"/>
          <w:szCs w:val="28"/>
        </w:rPr>
        <w:t xml:space="preserve">a, </w:t>
      </w:r>
      <w:r w:rsidR="00C41263" w:rsidRPr="00C41263">
        <w:rPr>
          <w:color w:val="000000" w:themeColor="text1"/>
          <w:szCs w:val="28"/>
        </w:rPr>
        <w:t xml:space="preserve">cuatro comunidades sumaron afiliados: Castilla-La Mancha (2,17%), Galicia (1,95%), Andalucía </w:t>
      </w:r>
      <w:r w:rsidR="00C41263" w:rsidRPr="00C63622">
        <w:rPr>
          <w:color w:val="000000" w:themeColor="text1"/>
          <w:szCs w:val="28"/>
        </w:rPr>
        <w:t>(1,32%) y Asturias (1,2%). En las demás se registraron menos ocupados, especialmente en Canarias (-15,14%), Baleares</w:t>
      </w:r>
      <w:r w:rsidR="006E45E7">
        <w:rPr>
          <w:color w:val="000000" w:themeColor="text1"/>
          <w:szCs w:val="28"/>
        </w:rPr>
        <w:t xml:space="preserve"> </w:t>
      </w:r>
      <w:r w:rsidR="00C41263" w:rsidRPr="00C63622">
        <w:rPr>
          <w:color w:val="000000" w:themeColor="text1"/>
          <w:szCs w:val="28"/>
        </w:rPr>
        <w:t xml:space="preserve">(-5,83%) y las ciudades </w:t>
      </w:r>
      <w:r w:rsidR="00C41263" w:rsidRPr="00C63622">
        <w:rPr>
          <w:color w:val="000000" w:themeColor="text1"/>
          <w:szCs w:val="28"/>
        </w:rPr>
        <w:lastRenderedPageBreak/>
        <w:t xml:space="preserve">autónomas de Ceuta (-39,96%) y Melilla </w:t>
      </w:r>
      <w:r w:rsidR="00C41263" w:rsidRPr="00C63622">
        <w:rPr>
          <w:color w:val="000000" w:themeColor="text1"/>
          <w:szCs w:val="28"/>
        </w:rPr>
        <w:br w:type="textWrapping" w:clear="all"/>
      </w:r>
      <w:r w:rsidR="00C41263" w:rsidRPr="004E7E7E">
        <w:rPr>
          <w:color w:val="000000" w:themeColor="text1"/>
          <w:szCs w:val="28"/>
        </w:rPr>
        <w:t>(-24,83%).</w:t>
      </w:r>
      <w:bookmarkStart w:id="1" w:name="_GoBack"/>
      <w:bookmarkEnd w:id="1"/>
    </w:p>
    <w:p w14:paraId="14470B3D" w14:textId="4FD67DD8" w:rsidR="00FC63A6" w:rsidRPr="007C6F48" w:rsidRDefault="00746DD3" w:rsidP="00FC63A6">
      <w:pPr>
        <w:pStyle w:val="Sangradetextonormal"/>
        <w:spacing w:after="240"/>
        <w:ind w:left="0"/>
        <w:rPr>
          <w:color w:val="000000" w:themeColor="text1"/>
          <w:szCs w:val="28"/>
        </w:rPr>
      </w:pPr>
      <w:r w:rsidRPr="004E7E7E">
        <w:rPr>
          <w:b/>
          <w:color w:val="000000" w:themeColor="text1"/>
          <w:szCs w:val="28"/>
        </w:rPr>
        <w:t>E</w:t>
      </w:r>
      <w:r w:rsidR="00FC63A6" w:rsidRPr="004E7E7E">
        <w:rPr>
          <w:b/>
          <w:color w:val="000000" w:themeColor="text1"/>
          <w:szCs w:val="28"/>
        </w:rPr>
        <w:t xml:space="preserve">l </w:t>
      </w:r>
      <w:r w:rsidR="00FC63A6" w:rsidRPr="004E7E7E">
        <w:rPr>
          <w:b/>
          <w:bCs/>
          <w:color w:val="000000" w:themeColor="text1"/>
          <w:szCs w:val="28"/>
        </w:rPr>
        <w:t>Régimen General</w:t>
      </w:r>
      <w:r w:rsidR="00E9667A" w:rsidRPr="004E7E7E">
        <w:rPr>
          <w:b/>
          <w:color w:val="000000" w:themeColor="text1"/>
          <w:szCs w:val="28"/>
        </w:rPr>
        <w:t xml:space="preserve"> </w:t>
      </w:r>
      <w:r w:rsidR="006E45E7">
        <w:rPr>
          <w:b/>
          <w:bCs/>
          <w:color w:val="000000" w:themeColor="text1"/>
          <w:szCs w:val="28"/>
        </w:rPr>
        <w:t>registró</w:t>
      </w:r>
      <w:r w:rsidR="00FC63A6" w:rsidRPr="004E7E7E">
        <w:rPr>
          <w:b/>
          <w:bCs/>
          <w:color w:val="000000" w:themeColor="text1"/>
          <w:szCs w:val="28"/>
        </w:rPr>
        <w:t xml:space="preserve"> </w:t>
      </w:r>
      <w:r w:rsidR="006E45E7">
        <w:rPr>
          <w:b/>
          <w:bCs/>
          <w:color w:val="000000" w:themeColor="text1"/>
          <w:szCs w:val="28"/>
        </w:rPr>
        <w:t>un descenso del</w:t>
      </w:r>
      <w:r w:rsidR="00FC63A6" w:rsidRPr="004E7E7E">
        <w:rPr>
          <w:b/>
          <w:bCs/>
          <w:color w:val="000000" w:themeColor="text1"/>
          <w:szCs w:val="28"/>
        </w:rPr>
        <w:t xml:space="preserve"> </w:t>
      </w:r>
      <w:r w:rsidR="0056165D" w:rsidRPr="004E7E7E">
        <w:rPr>
          <w:b/>
          <w:bCs/>
          <w:color w:val="000000" w:themeColor="text1"/>
          <w:szCs w:val="28"/>
        </w:rPr>
        <w:t>3,</w:t>
      </w:r>
      <w:r w:rsidR="00F8455E" w:rsidRPr="004E7E7E">
        <w:rPr>
          <w:b/>
          <w:bCs/>
          <w:color w:val="000000" w:themeColor="text1"/>
          <w:szCs w:val="28"/>
        </w:rPr>
        <w:t>6</w:t>
      </w:r>
      <w:r w:rsidR="00934803" w:rsidRPr="004E7E7E">
        <w:rPr>
          <w:b/>
          <w:bCs/>
          <w:color w:val="000000" w:themeColor="text1"/>
          <w:szCs w:val="28"/>
        </w:rPr>
        <w:t>7</w:t>
      </w:r>
      <w:r w:rsidR="00FC63A6" w:rsidRPr="004E7E7E">
        <w:rPr>
          <w:b/>
          <w:bCs/>
          <w:color w:val="000000" w:themeColor="text1"/>
          <w:szCs w:val="28"/>
        </w:rPr>
        <w:t>%</w:t>
      </w:r>
      <w:r w:rsidR="00FC63A6" w:rsidRPr="004E7E7E">
        <w:rPr>
          <w:b/>
          <w:color w:val="000000" w:themeColor="text1"/>
          <w:szCs w:val="28"/>
        </w:rPr>
        <w:t xml:space="preserve"> </w:t>
      </w:r>
      <w:r w:rsidR="00E9667A" w:rsidRPr="004E7E7E">
        <w:rPr>
          <w:b/>
          <w:color w:val="000000" w:themeColor="text1"/>
          <w:szCs w:val="28"/>
        </w:rPr>
        <w:t xml:space="preserve">de trabajadores extranjeros </w:t>
      </w:r>
      <w:r w:rsidR="00FC63A6" w:rsidRPr="004E7E7E">
        <w:rPr>
          <w:b/>
          <w:color w:val="000000" w:themeColor="text1"/>
          <w:szCs w:val="28"/>
        </w:rPr>
        <w:t>en el último año</w:t>
      </w:r>
      <w:r w:rsidR="006E45E7">
        <w:rPr>
          <w:color w:val="000000" w:themeColor="text1"/>
          <w:szCs w:val="28"/>
        </w:rPr>
        <w:t>. Destacan las tasas negativas en</w:t>
      </w:r>
      <w:r w:rsidR="00FC63A6" w:rsidRPr="004E7E7E">
        <w:rPr>
          <w:color w:val="000000" w:themeColor="text1"/>
          <w:szCs w:val="28"/>
        </w:rPr>
        <w:t xml:space="preserve"> </w:t>
      </w:r>
      <w:r w:rsidR="00E32ED5" w:rsidRPr="004E7E7E">
        <w:rPr>
          <w:b/>
          <w:bCs/>
          <w:color w:val="000000" w:themeColor="text1"/>
          <w:szCs w:val="28"/>
        </w:rPr>
        <w:t xml:space="preserve">Hostelería </w:t>
      </w:r>
      <w:r w:rsidR="00E32ED5" w:rsidRPr="004E7E7E">
        <w:rPr>
          <w:bCs/>
          <w:color w:val="000000" w:themeColor="text1"/>
          <w:szCs w:val="28"/>
        </w:rPr>
        <w:t>(-</w:t>
      </w:r>
      <w:r w:rsidR="004E7E7E" w:rsidRPr="004E7E7E">
        <w:rPr>
          <w:bCs/>
          <w:color w:val="000000" w:themeColor="text1"/>
          <w:szCs w:val="28"/>
        </w:rPr>
        <w:t>23,12</w:t>
      </w:r>
      <w:r w:rsidR="00E32ED5" w:rsidRPr="004E7E7E">
        <w:rPr>
          <w:bCs/>
          <w:color w:val="000000" w:themeColor="text1"/>
          <w:szCs w:val="28"/>
        </w:rPr>
        <w:t>%)</w:t>
      </w:r>
      <w:r w:rsidR="004E7E7E" w:rsidRPr="004E7E7E">
        <w:rPr>
          <w:color w:val="000000" w:themeColor="text1"/>
          <w:szCs w:val="28"/>
        </w:rPr>
        <w:t>,</w:t>
      </w:r>
      <w:r w:rsidR="00E32ED5" w:rsidRPr="004E7E7E">
        <w:rPr>
          <w:color w:val="000000" w:themeColor="text1"/>
          <w:szCs w:val="28"/>
        </w:rPr>
        <w:t xml:space="preserve"> </w:t>
      </w:r>
      <w:r w:rsidR="00FC63A6" w:rsidRPr="004E7E7E">
        <w:rPr>
          <w:color w:val="000000" w:themeColor="text1"/>
          <w:szCs w:val="28"/>
        </w:rPr>
        <w:t>Actividades Artísticas, Recreativas y de Entretenimiento (-</w:t>
      </w:r>
      <w:r w:rsidR="00920D7C" w:rsidRPr="004E7E7E">
        <w:rPr>
          <w:color w:val="000000" w:themeColor="text1"/>
          <w:szCs w:val="28"/>
        </w:rPr>
        <w:t>17,</w:t>
      </w:r>
      <w:r w:rsidR="004E7E7E" w:rsidRPr="004E7E7E">
        <w:rPr>
          <w:color w:val="000000" w:themeColor="text1"/>
          <w:szCs w:val="28"/>
        </w:rPr>
        <w:t>38</w:t>
      </w:r>
      <w:r w:rsidR="00FC63A6" w:rsidRPr="004E7E7E">
        <w:rPr>
          <w:color w:val="000000" w:themeColor="text1"/>
          <w:szCs w:val="28"/>
        </w:rPr>
        <w:t>%)</w:t>
      </w:r>
      <w:r w:rsidR="004E7E7E" w:rsidRPr="004E7E7E">
        <w:rPr>
          <w:color w:val="000000" w:themeColor="text1"/>
          <w:szCs w:val="28"/>
        </w:rPr>
        <w:t xml:space="preserve"> y Otros S</w:t>
      </w:r>
      <w:r w:rsidR="00166D44">
        <w:rPr>
          <w:color w:val="000000" w:themeColor="text1"/>
          <w:szCs w:val="28"/>
        </w:rPr>
        <w:t>ervicios</w:t>
      </w:r>
      <w:r w:rsidR="004E7E7E" w:rsidRPr="004E7E7E">
        <w:rPr>
          <w:color w:val="000000" w:themeColor="text1"/>
          <w:szCs w:val="28"/>
        </w:rPr>
        <w:t xml:space="preserve"> (-13,49%)</w:t>
      </w:r>
      <w:r w:rsidR="00E32ED5" w:rsidRPr="004E7E7E">
        <w:rPr>
          <w:color w:val="000000" w:themeColor="text1"/>
          <w:szCs w:val="28"/>
        </w:rPr>
        <w:t xml:space="preserve">. </w:t>
      </w:r>
      <w:r w:rsidR="004E7E7E" w:rsidRPr="004E7E7E">
        <w:rPr>
          <w:color w:val="000000" w:themeColor="text1"/>
          <w:szCs w:val="28"/>
        </w:rPr>
        <w:t>Los</w:t>
      </w:r>
      <w:r w:rsidR="00FC63A6" w:rsidRPr="004E7E7E">
        <w:rPr>
          <w:color w:val="000000" w:themeColor="text1"/>
          <w:szCs w:val="28"/>
        </w:rPr>
        <w:t xml:space="preserve"> sectores que sumaron más afiliados de otros países fueron </w:t>
      </w:r>
      <w:r w:rsidR="0027388E" w:rsidRPr="004E7E7E">
        <w:rPr>
          <w:b/>
          <w:color w:val="000000" w:themeColor="text1"/>
          <w:szCs w:val="28"/>
        </w:rPr>
        <w:t xml:space="preserve">Suministro de Energía Eléctrica, Gas, Vapor y Aire </w:t>
      </w:r>
      <w:r w:rsidR="0027388E" w:rsidRPr="007C6F48">
        <w:rPr>
          <w:b/>
          <w:color w:val="000000" w:themeColor="text1"/>
          <w:szCs w:val="28"/>
        </w:rPr>
        <w:t xml:space="preserve">Acondicionado </w:t>
      </w:r>
      <w:r w:rsidR="0027388E" w:rsidRPr="007C6F48">
        <w:rPr>
          <w:color w:val="000000" w:themeColor="text1"/>
          <w:szCs w:val="28"/>
        </w:rPr>
        <w:t>(</w:t>
      </w:r>
      <w:r w:rsidR="00934803" w:rsidRPr="007C6F48">
        <w:rPr>
          <w:color w:val="000000" w:themeColor="text1"/>
          <w:szCs w:val="28"/>
        </w:rPr>
        <w:t>15,44</w:t>
      </w:r>
      <w:r w:rsidR="0027388E" w:rsidRPr="007C6F48">
        <w:rPr>
          <w:color w:val="000000" w:themeColor="text1"/>
          <w:szCs w:val="28"/>
        </w:rPr>
        <w:t xml:space="preserve">%); </w:t>
      </w:r>
      <w:r w:rsidR="00934803" w:rsidRPr="007C6F48">
        <w:rPr>
          <w:color w:val="000000" w:themeColor="text1"/>
          <w:szCs w:val="28"/>
        </w:rPr>
        <w:t>Actividades Sanitarias y Servicios Centrales (9,51%); Actividades Financieras y de Seguros (7,54%); Suministro de Agua, Actividades de Saneamiento</w:t>
      </w:r>
      <w:r w:rsidR="004E7E7E" w:rsidRPr="007C6F48">
        <w:rPr>
          <w:color w:val="000000" w:themeColor="text1"/>
          <w:szCs w:val="28"/>
        </w:rPr>
        <w:t xml:space="preserve"> y </w:t>
      </w:r>
      <w:r w:rsidR="00934803" w:rsidRPr="007C6F48">
        <w:rPr>
          <w:color w:val="000000" w:themeColor="text1"/>
          <w:szCs w:val="28"/>
        </w:rPr>
        <w:t>Administración Pública y Defensa</w:t>
      </w:r>
      <w:r w:rsidR="00166D44">
        <w:rPr>
          <w:color w:val="000000" w:themeColor="text1"/>
          <w:szCs w:val="28"/>
        </w:rPr>
        <w:t xml:space="preserve"> (4,88%)</w:t>
      </w:r>
      <w:r w:rsidR="00934803" w:rsidRPr="007C6F48">
        <w:rPr>
          <w:color w:val="000000" w:themeColor="text1"/>
          <w:szCs w:val="28"/>
        </w:rPr>
        <w:t>; Seguridad Social Obligatoria (5,61%)</w:t>
      </w:r>
    </w:p>
    <w:p w14:paraId="0486EAB8" w14:textId="44C8EDE1" w:rsidR="00FC63A6" w:rsidRPr="007C6F48" w:rsidRDefault="00FC63A6" w:rsidP="00FC63A6">
      <w:pPr>
        <w:pStyle w:val="Sangradetextonormal"/>
        <w:spacing w:after="240"/>
        <w:ind w:left="0"/>
        <w:rPr>
          <w:color w:val="000000" w:themeColor="text1"/>
          <w:szCs w:val="28"/>
        </w:rPr>
      </w:pPr>
      <w:r w:rsidRPr="007C6F48">
        <w:rPr>
          <w:color w:val="000000" w:themeColor="text1"/>
          <w:szCs w:val="28"/>
        </w:rPr>
        <w:t xml:space="preserve">El número de trabajadores extranjeros </w:t>
      </w:r>
      <w:r w:rsidRPr="007C6F48">
        <w:rPr>
          <w:b/>
          <w:bCs/>
          <w:color w:val="000000" w:themeColor="text1"/>
          <w:szCs w:val="28"/>
        </w:rPr>
        <w:t>autónomos</w:t>
      </w:r>
      <w:r w:rsidRPr="007C6F48">
        <w:rPr>
          <w:color w:val="000000" w:themeColor="text1"/>
          <w:szCs w:val="28"/>
        </w:rPr>
        <w:t xml:space="preserve">, </w:t>
      </w:r>
      <w:r w:rsidR="004370AF" w:rsidRPr="007C6F48">
        <w:rPr>
          <w:color w:val="000000" w:themeColor="text1"/>
          <w:szCs w:val="28"/>
        </w:rPr>
        <w:t>por su parte,</w:t>
      </w:r>
      <w:r w:rsidRPr="007C6F48">
        <w:rPr>
          <w:color w:val="000000" w:themeColor="text1"/>
          <w:szCs w:val="28"/>
        </w:rPr>
        <w:t xml:space="preserve"> </w:t>
      </w:r>
      <w:r w:rsidRPr="007C6F48">
        <w:rPr>
          <w:b/>
          <w:bCs/>
          <w:color w:val="000000" w:themeColor="text1"/>
          <w:szCs w:val="28"/>
        </w:rPr>
        <w:t>creció</w:t>
      </w:r>
      <w:r w:rsidRPr="007C6F48">
        <w:rPr>
          <w:color w:val="000000" w:themeColor="text1"/>
          <w:szCs w:val="28"/>
        </w:rPr>
        <w:t xml:space="preserve"> un </w:t>
      </w:r>
      <w:r w:rsidR="007C69CE" w:rsidRPr="007C6F48">
        <w:rPr>
          <w:b/>
          <w:bCs/>
          <w:color w:val="000000" w:themeColor="text1"/>
          <w:szCs w:val="28"/>
        </w:rPr>
        <w:t>5,</w:t>
      </w:r>
      <w:r w:rsidR="007C6F48" w:rsidRPr="007C6F48">
        <w:rPr>
          <w:b/>
          <w:bCs/>
          <w:color w:val="000000" w:themeColor="text1"/>
          <w:szCs w:val="28"/>
        </w:rPr>
        <w:t>27</w:t>
      </w:r>
      <w:r w:rsidRPr="007C6F48">
        <w:rPr>
          <w:b/>
          <w:bCs/>
          <w:color w:val="000000" w:themeColor="text1"/>
          <w:szCs w:val="28"/>
        </w:rPr>
        <w:t>%</w:t>
      </w:r>
      <w:r w:rsidRPr="007C6F48">
        <w:rPr>
          <w:color w:val="000000" w:themeColor="text1"/>
          <w:szCs w:val="28"/>
        </w:rPr>
        <w:t xml:space="preserve"> en términos interanuales.</w:t>
      </w:r>
    </w:p>
    <w:p w14:paraId="46E75A3A" w14:textId="77777777" w:rsidR="00F072EC" w:rsidRPr="007C6F48" w:rsidRDefault="00FC63A6" w:rsidP="00DC1293">
      <w:pPr>
        <w:pStyle w:val="Sangradetextonormal"/>
        <w:spacing w:after="240"/>
        <w:ind w:left="0"/>
        <w:rPr>
          <w:color w:val="000000" w:themeColor="text1"/>
        </w:rPr>
      </w:pPr>
      <w:r w:rsidRPr="007C6F4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CA97B5" wp14:editId="562ADCE9">
                <wp:simplePos x="0" y="0"/>
                <wp:positionH relativeFrom="column">
                  <wp:posOffset>2464435</wp:posOffset>
                </wp:positionH>
                <wp:positionV relativeFrom="paragraph">
                  <wp:posOffset>14050645</wp:posOffset>
                </wp:positionV>
                <wp:extent cx="342900" cy="228600"/>
                <wp:effectExtent l="0" t="0" r="19050" b="1905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8E1A" w14:textId="77777777" w:rsidR="00FC63A6" w:rsidRDefault="00FC63A6" w:rsidP="00FC63A6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19"/>
                                <w:lang w:val="es-ES_tradnl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46A9F05" wp14:editId="49636892">
                                  <wp:extent cx="28575" cy="28575"/>
                                  <wp:effectExtent l="0" t="0" r="9525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A97B5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194.05pt;margin-top:1106.3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" o:allowincell="f" fillcolor="black">
                <v:textbox>
                  <w:txbxContent>
                    <w:p w14:paraId="12D48E1A" w14:textId="77777777" w:rsidR="00FC63A6" w:rsidRDefault="00FC63A6" w:rsidP="00FC63A6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20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19"/>
                          <w:lang w:val="es-ES_tradnl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drawing>
                          <wp:inline distT="0" distB="0" distL="0" distR="0" wp14:anchorId="446A9F05" wp14:editId="49636892">
                            <wp:extent cx="28575" cy="28575"/>
                            <wp:effectExtent l="0" t="0" r="9525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C6F48">
        <w:rPr>
          <w:b/>
          <w:color w:val="000000" w:themeColor="text1"/>
          <w:sz w:val="26"/>
          <w:szCs w:val="26"/>
        </w:rPr>
        <w:t>Más información en los archivos adjuntos</w:t>
      </w:r>
      <w:bookmarkEnd w:id="0"/>
      <w:r w:rsidRPr="007C6F48">
        <w:rPr>
          <w:b/>
          <w:color w:val="000000" w:themeColor="text1"/>
          <w:sz w:val="26"/>
          <w:szCs w:val="26"/>
        </w:rPr>
        <w:t>.</w:t>
      </w:r>
    </w:p>
    <w:sectPr w:rsidR="00F072EC" w:rsidRPr="007C6F4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75" w:right="1474" w:bottom="1701" w:left="2892" w:header="284" w:footer="420" w:gutter="0"/>
      <w:pgNumType w:chapStyle="1" w:chapSep="e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C914" w14:textId="77777777" w:rsidR="002B6073" w:rsidRDefault="002B6073">
      <w:r>
        <w:separator/>
      </w:r>
    </w:p>
  </w:endnote>
  <w:endnote w:type="continuationSeparator" w:id="0">
    <w:p w14:paraId="694805E5" w14:textId="77777777" w:rsidR="002B6073" w:rsidRDefault="002B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D06D2" w14:textId="77777777" w:rsidR="00E7750D" w:rsidRDefault="00E775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2BAEBB" w14:textId="77777777" w:rsidR="00E7750D" w:rsidRDefault="00E775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547" w:type="dxa"/>
      <w:tblInd w:w="-25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7088"/>
      <w:gridCol w:w="1907"/>
    </w:tblGrid>
    <w:tr w:rsidR="00F91496" w14:paraId="161CBF7C" w14:textId="77777777" w:rsidTr="00F072EC">
      <w:trPr>
        <w:cantSplit/>
        <w:trHeight w:val="426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4BABA6" w14:textId="77777777" w:rsidR="00F91496" w:rsidRDefault="00F91496" w:rsidP="00F91496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6F04CC41" w14:textId="19BE0EB5" w:rsidR="00F91496" w:rsidRPr="00D56421" w:rsidRDefault="00D56421" w:rsidP="00F91496">
          <w:pPr>
            <w:pStyle w:val="Encabezado"/>
            <w:tabs>
              <w:tab w:val="clear" w:pos="4252"/>
              <w:tab w:val="clear" w:pos="8504"/>
            </w:tabs>
            <w:rPr>
              <w:sz w:val="18"/>
              <w:szCs w:val="18"/>
              <w:lang w:val="es-ES_tradnl"/>
            </w:rPr>
          </w:pPr>
          <w:r w:rsidRPr="00D56421">
            <w:rPr>
              <w:sz w:val="18"/>
              <w:szCs w:val="18"/>
            </w:rPr>
            <w:t>gprensa@</w:t>
          </w:r>
          <w:r w:rsidR="00F072EC">
            <w:rPr>
              <w:sz w:val="18"/>
              <w:szCs w:val="18"/>
            </w:rPr>
            <w:t>inclusion.gob</w:t>
          </w:r>
          <w:r w:rsidRPr="00D56421">
            <w:rPr>
              <w:sz w:val="18"/>
              <w:szCs w:val="18"/>
            </w:rPr>
            <w:t>.es</w:t>
          </w:r>
        </w:p>
        <w:p w14:paraId="261CC85C" w14:textId="77777777" w:rsidR="00F91496" w:rsidRDefault="00F91496" w:rsidP="00F91496">
          <w:pPr>
            <w:spacing w:line="180" w:lineRule="atLeast"/>
            <w:rPr>
              <w:sz w:val="10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393F36E2" w14:textId="77777777" w:rsidR="00F91496" w:rsidRDefault="00F91496" w:rsidP="00F91496">
          <w:pPr>
            <w:jc w:val="center"/>
            <w:rPr>
              <w:sz w:val="18"/>
            </w:rPr>
          </w:pPr>
          <w:r>
            <w:rPr>
              <w:sz w:val="18"/>
            </w:rPr>
            <w:br/>
            <w:t>Esta información puede ser usada en parte o en su integridad sin necesidad de citar fuentes</w:t>
          </w:r>
        </w:p>
        <w:p w14:paraId="49293E30" w14:textId="77777777" w:rsidR="00F91496" w:rsidRDefault="00F91496" w:rsidP="00F91496">
          <w:pPr>
            <w:jc w:val="center"/>
            <w:rPr>
              <w:sz w:val="18"/>
            </w:rPr>
          </w:pPr>
        </w:p>
      </w:tc>
      <w:tc>
        <w:tcPr>
          <w:tcW w:w="1907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4E439938" w14:textId="77777777" w:rsidR="00F91496" w:rsidRPr="00F91496" w:rsidRDefault="00F91496" w:rsidP="00F91496">
          <w:pPr>
            <w:spacing w:before="120"/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Paseo de la Castellana, 63</w:t>
          </w:r>
        </w:p>
        <w:p w14:paraId="1259D4C2" w14:textId="77777777" w:rsidR="00F91496" w:rsidRPr="00F91496" w:rsidRDefault="00F91496" w:rsidP="00F91496">
          <w:pPr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28071 - MADRID</w:t>
          </w:r>
        </w:p>
        <w:p w14:paraId="1B43E108" w14:textId="77777777" w:rsidR="00F91496" w:rsidRDefault="00F91496" w:rsidP="003E7879">
          <w:pPr>
            <w:ind w:left="72"/>
            <w:jc w:val="both"/>
          </w:pPr>
        </w:p>
      </w:tc>
    </w:tr>
    <w:tr w:rsidR="00F91496" w:rsidRPr="00737D0B" w14:paraId="364D9B14" w14:textId="77777777" w:rsidTr="00F072EC">
      <w:trPr>
        <w:cantSplit/>
        <w:trHeight w:val="120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67EAA7C6" w14:textId="77777777" w:rsidR="00F91496" w:rsidRDefault="00F91496" w:rsidP="00F91496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6E45E7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6E45E7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30334BD2" w14:textId="77777777" w:rsidR="00F91496" w:rsidRPr="002C3B8E" w:rsidRDefault="00F91496" w:rsidP="00F91496">
          <w:pPr>
            <w:jc w:val="center"/>
            <w:rPr>
              <w:b/>
              <w:position w:val="4"/>
              <w:sz w:val="20"/>
            </w:rPr>
          </w:pPr>
        </w:p>
      </w:tc>
      <w:tc>
        <w:tcPr>
          <w:tcW w:w="1907" w:type="dxa"/>
          <w:vMerge/>
          <w:tcBorders>
            <w:left w:val="single" w:sz="4" w:space="0" w:color="auto"/>
            <w:bottom w:val="nil"/>
            <w:right w:val="nil"/>
          </w:tcBorders>
        </w:tcPr>
        <w:p w14:paraId="3AF0788D" w14:textId="77777777" w:rsidR="00F91496" w:rsidRPr="00737D0B" w:rsidRDefault="00F91496" w:rsidP="00F91496"/>
      </w:tc>
    </w:tr>
  </w:tbl>
  <w:p w14:paraId="5A4330A5" w14:textId="77777777" w:rsidR="00E7750D" w:rsidRPr="00737D0B" w:rsidRDefault="00E7750D" w:rsidP="00E7750D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4" w:type="dxa"/>
      <w:tblInd w:w="-22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6739"/>
      <w:gridCol w:w="1907"/>
    </w:tblGrid>
    <w:tr w:rsidR="00E7750D" w14:paraId="08AE0C35" w14:textId="77777777" w:rsidTr="00B41E4B">
      <w:trPr>
        <w:cantSplit/>
        <w:trHeight w:val="426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51E182" w14:textId="77777777" w:rsidR="00E7750D" w:rsidRDefault="00E7750D" w:rsidP="00350D69">
          <w:pPr>
            <w:pStyle w:val="Encabezado"/>
            <w:tabs>
              <w:tab w:val="clear" w:pos="4252"/>
              <w:tab w:val="clear" w:pos="8504"/>
            </w:tabs>
            <w:ind w:left="-63" w:right="-994"/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4E452014" w14:textId="4C4CFC89" w:rsidR="00350D69" w:rsidRPr="00350D69" w:rsidRDefault="00350D69" w:rsidP="00350D69">
          <w:pPr>
            <w:ind w:left="-63" w:right="-1271"/>
            <w:rPr>
              <w:sz w:val="16"/>
              <w:szCs w:val="16"/>
            </w:rPr>
          </w:pPr>
          <w:r w:rsidRPr="00350D69">
            <w:rPr>
              <w:sz w:val="16"/>
              <w:szCs w:val="16"/>
            </w:rPr>
            <w:t>gprensa@</w:t>
          </w:r>
          <w:r w:rsidR="00B41E4B">
            <w:rPr>
              <w:sz w:val="16"/>
              <w:szCs w:val="16"/>
            </w:rPr>
            <w:t>inclusion.gob</w:t>
          </w:r>
          <w:r w:rsidRPr="00350D69">
            <w:rPr>
              <w:sz w:val="16"/>
              <w:szCs w:val="16"/>
            </w:rPr>
            <w:t>.es</w:t>
          </w:r>
        </w:p>
        <w:p w14:paraId="4CEC6FAA" w14:textId="77777777" w:rsidR="00E7750D" w:rsidRDefault="00E7750D" w:rsidP="00350D69">
          <w:pPr>
            <w:spacing w:line="180" w:lineRule="atLeast"/>
            <w:ind w:left="-482" w:right="-994"/>
            <w:rPr>
              <w:sz w:val="10"/>
            </w:rPr>
          </w:pPr>
        </w:p>
      </w:tc>
      <w:tc>
        <w:tcPr>
          <w:tcW w:w="6739" w:type="dxa"/>
          <w:tcBorders>
            <w:top w:val="nil"/>
            <w:left w:val="nil"/>
            <w:bottom w:val="nil"/>
            <w:right w:val="nil"/>
          </w:tcBorders>
        </w:tcPr>
        <w:p w14:paraId="2584A2C7" w14:textId="77777777" w:rsidR="00E7750D" w:rsidRDefault="00F91496" w:rsidP="00B41E4B">
          <w:pPr>
            <w:ind w:left="209"/>
            <w:jc w:val="center"/>
            <w:rPr>
              <w:sz w:val="18"/>
            </w:rPr>
          </w:pPr>
          <w:r>
            <w:rPr>
              <w:sz w:val="18"/>
            </w:rPr>
            <w:br/>
          </w:r>
          <w:r w:rsidR="00E7750D">
            <w:rPr>
              <w:sz w:val="18"/>
            </w:rPr>
            <w:t>Esta información puede ser usada en parte o en su integridad sin necesidad de citar fuentes</w:t>
          </w:r>
        </w:p>
        <w:p w14:paraId="6C6573D9" w14:textId="77777777" w:rsidR="00E7750D" w:rsidRDefault="00E7750D">
          <w:pPr>
            <w:jc w:val="center"/>
            <w:rPr>
              <w:sz w:val="18"/>
            </w:rPr>
          </w:pPr>
        </w:p>
      </w:tc>
      <w:tc>
        <w:tcPr>
          <w:tcW w:w="1907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0B1A3795" w14:textId="77777777" w:rsidR="00E7750D" w:rsidRPr="00F91496" w:rsidRDefault="00F91496">
          <w:pPr>
            <w:spacing w:before="120"/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Paseo de la Castellana, 63</w:t>
          </w:r>
        </w:p>
        <w:p w14:paraId="07D30A67" w14:textId="77777777" w:rsidR="00E7750D" w:rsidRPr="00F91496" w:rsidRDefault="00E7750D">
          <w:pPr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28071 - MADRID</w:t>
          </w:r>
        </w:p>
        <w:p w14:paraId="4642B888" w14:textId="77777777" w:rsidR="00E7750D" w:rsidRDefault="00E7750D" w:rsidP="003E7879">
          <w:pPr>
            <w:ind w:left="72"/>
            <w:jc w:val="both"/>
          </w:pPr>
        </w:p>
      </w:tc>
    </w:tr>
    <w:tr w:rsidR="00737D0B" w:rsidRPr="00737D0B" w14:paraId="40814972" w14:textId="77777777" w:rsidTr="00B41E4B">
      <w:trPr>
        <w:cantSplit/>
        <w:trHeight w:val="12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816F5B8" w14:textId="77777777" w:rsidR="00737D0B" w:rsidRDefault="00737D0B" w:rsidP="00350D69">
          <w:pPr>
            <w:spacing w:line="240" w:lineRule="atLeast"/>
            <w:ind w:left="-482" w:right="-994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6E45E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6E45E7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6739" w:type="dxa"/>
          <w:tcBorders>
            <w:top w:val="nil"/>
            <w:left w:val="nil"/>
            <w:bottom w:val="nil"/>
            <w:right w:val="nil"/>
          </w:tcBorders>
        </w:tcPr>
        <w:p w14:paraId="43DD4A9E" w14:textId="77777777" w:rsidR="00737D0B" w:rsidRPr="002C3B8E" w:rsidRDefault="00737D0B" w:rsidP="002817F8">
          <w:pPr>
            <w:jc w:val="center"/>
            <w:rPr>
              <w:b/>
              <w:position w:val="4"/>
              <w:sz w:val="20"/>
            </w:rPr>
          </w:pPr>
        </w:p>
      </w:tc>
      <w:tc>
        <w:tcPr>
          <w:tcW w:w="1907" w:type="dxa"/>
          <w:vMerge/>
          <w:tcBorders>
            <w:left w:val="single" w:sz="4" w:space="0" w:color="auto"/>
            <w:bottom w:val="nil"/>
            <w:right w:val="nil"/>
          </w:tcBorders>
        </w:tcPr>
        <w:p w14:paraId="1B8460C6" w14:textId="77777777" w:rsidR="00737D0B" w:rsidRPr="00737D0B" w:rsidRDefault="00737D0B"/>
      </w:tc>
    </w:tr>
  </w:tbl>
  <w:p w14:paraId="3AEB7920" w14:textId="77777777" w:rsidR="00E7750D" w:rsidRPr="00737D0B" w:rsidRDefault="00E7750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54157" w14:textId="77777777" w:rsidR="002B6073" w:rsidRDefault="002B6073">
      <w:r>
        <w:separator/>
      </w:r>
    </w:p>
  </w:footnote>
  <w:footnote w:type="continuationSeparator" w:id="0">
    <w:p w14:paraId="7A2595C1" w14:textId="77777777" w:rsidR="002B6073" w:rsidRDefault="002B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1D8B" w14:textId="77777777" w:rsidR="00E7750D" w:rsidRDefault="00E7750D">
    <w:pPr>
      <w:ind w:left="-1560" w:firstLine="1560"/>
      <w:rPr>
        <w:rFonts w:ascii="Gill Sans MT" w:hAnsi="Gill Sans MT"/>
        <w:sz w:val="16"/>
      </w:rPr>
    </w:pPr>
  </w:p>
  <w:p w14:paraId="57DE3217" w14:textId="77777777" w:rsidR="00E7750D" w:rsidRDefault="00E7750D">
    <w:pPr>
      <w:ind w:left="-1560" w:firstLine="1560"/>
      <w:rPr>
        <w:rFonts w:ascii="Gill Sans MT" w:hAnsi="Gill Sans MT"/>
        <w:sz w:val="16"/>
      </w:rPr>
    </w:pPr>
  </w:p>
  <w:tbl>
    <w:tblPr>
      <w:tblW w:w="15169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2979"/>
      <w:gridCol w:w="1273"/>
      <w:gridCol w:w="2979"/>
      <w:gridCol w:w="2979"/>
      <w:gridCol w:w="3613"/>
    </w:tblGrid>
    <w:tr w:rsidR="006658D4" w14:paraId="10A88479" w14:textId="77777777" w:rsidTr="006658D4">
      <w:trPr>
        <w:gridAfter w:val="1"/>
        <w:wAfter w:w="3613" w:type="dxa"/>
        <w:cantSplit/>
        <w:trHeight w:val="543"/>
      </w:trPr>
      <w:tc>
        <w:tcPr>
          <w:tcW w:w="1346" w:type="dxa"/>
          <w:vMerge w:val="restart"/>
        </w:tcPr>
        <w:p w14:paraId="023478F9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 w14:anchorId="238CA6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6pt;height:57.6pt" fillcolor="window">
                <v:imagedata r:id="rId1" o:title=""/>
              </v:shape>
              <o:OLEObject Type="Embed" ProgID="Word.Picture.8" ShapeID="_x0000_i1025" DrawAspect="Content" ObjectID="_1675093839" r:id="rId2"/>
            </w:object>
          </w:r>
        </w:p>
      </w:tc>
      <w:tc>
        <w:tcPr>
          <w:tcW w:w="4252" w:type="dxa"/>
          <w:gridSpan w:val="2"/>
          <w:vMerge w:val="restart"/>
        </w:tcPr>
        <w:p w14:paraId="3211890D" w14:textId="77777777" w:rsidR="006658D4" w:rsidRDefault="006658D4" w:rsidP="000B1114">
          <w:pPr>
            <w:spacing w:before="360"/>
            <w:ind w:right="-1487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>MINISTERIO</w:t>
          </w:r>
          <w:r>
            <w:rPr>
              <w:rFonts w:ascii="Gill Sans MT" w:hAnsi="Gill Sans MT"/>
              <w:sz w:val="22"/>
            </w:rPr>
            <w:br/>
            <w:t>DE INCLUSIÓN, SEGURIDAD SOCIAL</w:t>
          </w:r>
          <w:r>
            <w:rPr>
              <w:rFonts w:ascii="Gill Sans MT" w:hAnsi="Gill Sans MT"/>
              <w:sz w:val="22"/>
            </w:rPr>
            <w:br/>
            <w:t xml:space="preserve">Y MIGRACIONES </w:t>
          </w:r>
        </w:p>
      </w:tc>
      <w:tc>
        <w:tcPr>
          <w:tcW w:w="2979" w:type="dxa"/>
        </w:tcPr>
        <w:p w14:paraId="65C39216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</w:p>
      </w:tc>
      <w:tc>
        <w:tcPr>
          <w:tcW w:w="2979" w:type="dxa"/>
        </w:tcPr>
        <w:p w14:paraId="1AC84916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  <w:r>
            <w:rPr>
              <w:rFonts w:ascii="Gill Sans MT" w:hAnsi="Gill Sans MT"/>
              <w:noProof/>
              <w:sz w:val="22"/>
            </w:rPr>
            <w:drawing>
              <wp:anchor distT="0" distB="0" distL="114300" distR="114300" simplePos="0" relativeHeight="251673088" behindDoc="0" locked="0" layoutInCell="1" allowOverlap="1" wp14:anchorId="65D0CD90" wp14:editId="166B01C1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1181100" cy="58674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252" y="21039"/>
                    <wp:lineTo x="21252" y="0"/>
                    <wp:lineTo x="0" y="0"/>
                  </wp:wrapPolygon>
                </wp:wrapTight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hatsApp Image 2020-09-30 at 18.01.01.jpe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18110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658D4" w14:paraId="2BFAB41D" w14:textId="77777777" w:rsidTr="006658D4">
      <w:trPr>
        <w:cantSplit/>
        <w:trHeight w:val="40"/>
      </w:trPr>
      <w:tc>
        <w:tcPr>
          <w:tcW w:w="1346" w:type="dxa"/>
          <w:vMerge/>
        </w:tcPr>
        <w:p w14:paraId="2BEEC144" w14:textId="77777777" w:rsidR="006658D4" w:rsidRDefault="006658D4" w:rsidP="000B1114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252" w:type="dxa"/>
          <w:gridSpan w:val="2"/>
          <w:vMerge/>
        </w:tcPr>
        <w:p w14:paraId="01792719" w14:textId="77777777" w:rsidR="006658D4" w:rsidRDefault="006658D4" w:rsidP="000B1114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2979" w:type="dxa"/>
        </w:tcPr>
        <w:p w14:paraId="1FDD91F2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rFonts w:ascii="Gill Sans MT" w:hAnsi="Gill Sans MT"/>
              <w:kern w:val="16"/>
              <w:sz w:val="14"/>
            </w:rPr>
          </w:pPr>
        </w:p>
      </w:tc>
      <w:tc>
        <w:tcPr>
          <w:tcW w:w="2979" w:type="dxa"/>
        </w:tcPr>
        <w:p w14:paraId="1234BCAC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  <w:tc>
        <w:tcPr>
          <w:tcW w:w="3613" w:type="dxa"/>
          <w:vAlign w:val="center"/>
        </w:tcPr>
        <w:p w14:paraId="0C36C39A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</w:tr>
    <w:tr w:rsidR="006658D4" w14:paraId="1BA76673" w14:textId="77777777" w:rsidTr="006658D4">
      <w:trPr>
        <w:gridAfter w:val="4"/>
        <w:wAfter w:w="10844" w:type="dxa"/>
        <w:cantSplit/>
        <w:trHeight w:val="275"/>
      </w:trPr>
      <w:tc>
        <w:tcPr>
          <w:tcW w:w="1346" w:type="dxa"/>
          <w:vMerge/>
        </w:tcPr>
        <w:p w14:paraId="4BDC9177" w14:textId="77777777" w:rsidR="006658D4" w:rsidRDefault="006658D4" w:rsidP="005D0A4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2979" w:type="dxa"/>
        </w:tcPr>
        <w:p w14:paraId="67C56B04" w14:textId="77777777" w:rsidR="006658D4" w:rsidRDefault="006658D4" w:rsidP="005D0A4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</w:tr>
  </w:tbl>
  <w:p w14:paraId="00121622" w14:textId="77777777" w:rsidR="00A96EEF" w:rsidRDefault="00A96EEF" w:rsidP="00A96EEF">
    <w:pPr>
      <w:pStyle w:val="Encabezado"/>
      <w:tabs>
        <w:tab w:val="clear" w:pos="4252"/>
        <w:tab w:val="left" w:pos="2127"/>
        <w:tab w:val="left" w:pos="6521"/>
      </w:tabs>
      <w:ind w:left="-1560" w:firstLine="1560"/>
      <w:rPr>
        <w:rFonts w:ascii="Gill Sans MT" w:hAnsi="Gill Sans MT"/>
        <w:sz w:val="16"/>
      </w:rPr>
    </w:pPr>
  </w:p>
  <w:p w14:paraId="50E7CD59" w14:textId="77777777" w:rsidR="00A96EEF" w:rsidRDefault="00A96EEF" w:rsidP="00A96EEF">
    <w:pPr>
      <w:pStyle w:val="Encabezado"/>
      <w:tabs>
        <w:tab w:val="clear" w:pos="4252"/>
        <w:tab w:val="left" w:pos="2127"/>
        <w:tab w:val="left" w:pos="6521"/>
      </w:tabs>
      <w:ind w:left="-1560" w:firstLine="1560"/>
      <w:rPr>
        <w:rFonts w:ascii="Gill Sans MT" w:hAnsi="Gill Sans MT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B209C" w14:textId="77777777" w:rsidR="00E7750D" w:rsidRDefault="00E7750D">
    <w:pPr>
      <w:rPr>
        <w:rFonts w:ascii="Gill Sans MT" w:hAnsi="Gill Sans MT"/>
        <w:sz w:val="16"/>
      </w:rPr>
    </w:pPr>
  </w:p>
  <w:tbl>
    <w:tblPr>
      <w:tblW w:w="13749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4252"/>
      <w:gridCol w:w="4538"/>
      <w:gridCol w:w="3613"/>
    </w:tblGrid>
    <w:tr w:rsidR="003E7879" w14:paraId="363C747E" w14:textId="77777777" w:rsidTr="00A83FB2">
      <w:trPr>
        <w:gridAfter w:val="1"/>
        <w:wAfter w:w="3613" w:type="dxa"/>
        <w:cantSplit/>
        <w:trHeight w:val="543"/>
      </w:trPr>
      <w:tc>
        <w:tcPr>
          <w:tcW w:w="1346" w:type="dxa"/>
          <w:vMerge w:val="restart"/>
        </w:tcPr>
        <w:bookmarkStart w:id="2" w:name="_MON_1030352108"/>
        <w:bookmarkEnd w:id="2"/>
        <w:p w14:paraId="5B0ED33E" w14:textId="77777777" w:rsidR="003E7879" w:rsidRDefault="003E7879" w:rsidP="00AD32EA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 w14:anchorId="222F06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7.6pt;height:57.6pt" fillcolor="window">
                <v:imagedata r:id="rId1" o:title=""/>
              </v:shape>
              <o:OLEObject Type="Embed" ProgID="Word.Picture.8" ShapeID="_x0000_i1026" DrawAspect="Content" ObjectID="_1675093840" r:id="rId2"/>
            </w:object>
          </w:r>
        </w:p>
      </w:tc>
      <w:tc>
        <w:tcPr>
          <w:tcW w:w="4252" w:type="dxa"/>
          <w:vMerge w:val="restart"/>
        </w:tcPr>
        <w:p w14:paraId="62CAD1CE" w14:textId="77777777" w:rsidR="003E7879" w:rsidRDefault="003E7879" w:rsidP="00AD32EA">
          <w:pPr>
            <w:spacing w:before="360"/>
            <w:ind w:right="-1487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>MINISTERIO</w:t>
          </w:r>
          <w:r>
            <w:rPr>
              <w:rFonts w:ascii="Gill Sans MT" w:hAnsi="Gill Sans MT"/>
              <w:sz w:val="22"/>
            </w:rPr>
            <w:br/>
            <w:t>DE INCLUSIÓN, SEGURIDAD SOCIAL</w:t>
          </w:r>
          <w:r>
            <w:rPr>
              <w:rFonts w:ascii="Gill Sans MT" w:hAnsi="Gill Sans MT"/>
              <w:sz w:val="22"/>
            </w:rPr>
            <w:br/>
            <w:t xml:space="preserve">Y MIGRACIONES </w:t>
          </w:r>
        </w:p>
      </w:tc>
      <w:tc>
        <w:tcPr>
          <w:tcW w:w="4538" w:type="dxa"/>
        </w:tcPr>
        <w:p w14:paraId="19DFB556" w14:textId="77777777" w:rsidR="003E7879" w:rsidRDefault="00A83FB2" w:rsidP="00AD32EA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  <w:r>
            <w:rPr>
              <w:rFonts w:ascii="Gill Sans MT" w:hAnsi="Gill Sans MT"/>
              <w:noProof/>
              <w:sz w:val="22"/>
            </w:rPr>
            <w:drawing>
              <wp:anchor distT="0" distB="0" distL="114300" distR="114300" simplePos="0" relativeHeight="251671040" behindDoc="0" locked="0" layoutInCell="1" allowOverlap="1" wp14:anchorId="0129ACAF" wp14:editId="36D26F58">
                <wp:simplePos x="0" y="0"/>
                <wp:positionH relativeFrom="column">
                  <wp:posOffset>1656080</wp:posOffset>
                </wp:positionH>
                <wp:positionV relativeFrom="paragraph">
                  <wp:posOffset>125730</wp:posOffset>
                </wp:positionV>
                <wp:extent cx="1181100" cy="58674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252" y="21039"/>
                    <wp:lineTo x="21252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hatsApp Image 2020-09-30 at 18.01.01.jpe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18110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7879" w14:paraId="5418A66C" w14:textId="77777777" w:rsidTr="00A83FB2">
      <w:trPr>
        <w:cantSplit/>
        <w:trHeight w:val="40"/>
      </w:trPr>
      <w:tc>
        <w:tcPr>
          <w:tcW w:w="1346" w:type="dxa"/>
          <w:vMerge/>
        </w:tcPr>
        <w:p w14:paraId="484DCDDB" w14:textId="77777777" w:rsidR="003E7879" w:rsidRDefault="003E7879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252" w:type="dxa"/>
          <w:vMerge/>
        </w:tcPr>
        <w:p w14:paraId="6BDF1A5B" w14:textId="77777777" w:rsidR="003E7879" w:rsidRDefault="003E7879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538" w:type="dxa"/>
        </w:tcPr>
        <w:p w14:paraId="6903000E" w14:textId="77777777" w:rsidR="003E7879" w:rsidRDefault="003E7879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rFonts w:ascii="Gill Sans MT" w:hAnsi="Gill Sans MT"/>
              <w:kern w:val="16"/>
              <w:sz w:val="14"/>
            </w:rPr>
          </w:pPr>
        </w:p>
      </w:tc>
      <w:tc>
        <w:tcPr>
          <w:tcW w:w="3613" w:type="dxa"/>
          <w:vAlign w:val="center"/>
        </w:tcPr>
        <w:p w14:paraId="3326019D" w14:textId="77777777" w:rsidR="003E7879" w:rsidRDefault="003E7879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</w:tr>
  </w:tbl>
  <w:p w14:paraId="50B55486" w14:textId="77777777" w:rsidR="00E7750D" w:rsidRDefault="00F91496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2065E88" wp14:editId="09656B5D">
              <wp:simplePos x="0" y="0"/>
              <wp:positionH relativeFrom="column">
                <wp:posOffset>-1556385</wp:posOffset>
              </wp:positionH>
              <wp:positionV relativeFrom="paragraph">
                <wp:posOffset>88265</wp:posOffset>
              </wp:positionV>
              <wp:extent cx="800100" cy="38862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88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F7625" w14:textId="77777777" w:rsidR="00E7750D" w:rsidRDefault="00E7750D">
                          <w:pPr>
                            <w:pStyle w:val="Ttulo4"/>
                          </w:pPr>
                          <w:r>
                            <w:t xml:space="preserve">Nota de </w:t>
                          </w:r>
                          <w:smartTag w:uri="urn:schemas-microsoft-com:office:smarttags" w:element="PersonName">
                            <w:r>
                              <w:t>prensa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65E8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-122.55pt;margin-top:6.95pt;width:63pt;height:30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" o:allowincell="f" filled="f" stroked="f">
              <v:textbox style="layout-flow:vertical;mso-layout-flow-alt:bottom-to-top">
                <w:txbxContent>
                  <w:p w14:paraId="05AF7625" w14:textId="77777777" w:rsidR="00E7750D" w:rsidRDefault="00E7750D">
                    <w:pPr>
                      <w:pStyle w:val="Ttulo4"/>
                    </w:pPr>
                    <w:r>
                      <w:t xml:space="preserve">Nota de </w:t>
                    </w:r>
                    <w:smartTag w:uri="urn:schemas-microsoft-com:office:smarttags" w:element="PersonName">
                      <w:r>
                        <w:t>prensa</w:t>
                      </w:r>
                    </w:smartTag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78F"/>
    <w:multiLevelType w:val="hybridMultilevel"/>
    <w:tmpl w:val="9170FD70"/>
    <w:lvl w:ilvl="0" w:tplc="AB3CCAC6">
      <w:start w:val="1"/>
      <w:numFmt w:val="bullet"/>
      <w:lvlText w:val="→"/>
      <w:lvlJc w:val="left"/>
      <w:pPr>
        <w:tabs>
          <w:tab w:val="num" w:pos="0"/>
        </w:tabs>
        <w:ind w:left="1068" w:hanging="360"/>
      </w:pPr>
      <w:rPr>
        <w:rFonts w:ascii="Calibri" w:hAnsi="Calibr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2B2"/>
    <w:multiLevelType w:val="hybridMultilevel"/>
    <w:tmpl w:val="4B5C8E1A"/>
    <w:lvl w:ilvl="0" w:tplc="2C16A9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8B1"/>
    <w:multiLevelType w:val="hybridMultilevel"/>
    <w:tmpl w:val="CEF407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9281F"/>
    <w:multiLevelType w:val="hybridMultilevel"/>
    <w:tmpl w:val="BAA6295A"/>
    <w:lvl w:ilvl="0" w:tplc="E49CDA8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5227"/>
    <w:multiLevelType w:val="hybridMultilevel"/>
    <w:tmpl w:val="5E2C213C"/>
    <w:lvl w:ilvl="0" w:tplc="E9F299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15F8"/>
    <w:multiLevelType w:val="hybridMultilevel"/>
    <w:tmpl w:val="7108B128"/>
    <w:lvl w:ilvl="0" w:tplc="F7F406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B7919"/>
    <w:multiLevelType w:val="hybridMultilevel"/>
    <w:tmpl w:val="70F4B7B6"/>
    <w:lvl w:ilvl="0" w:tplc="9FA62F5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4646"/>
    <w:multiLevelType w:val="hybridMultilevel"/>
    <w:tmpl w:val="65E8E5B6"/>
    <w:lvl w:ilvl="0" w:tplc="22989970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C72ED79A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E7E8527E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A6C04A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316089D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3F9A6EE8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40F2FFD2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C0EA6D9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B128C6D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A997B8D"/>
    <w:multiLevelType w:val="hybridMultilevel"/>
    <w:tmpl w:val="54C223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23B62"/>
    <w:multiLevelType w:val="hybridMultilevel"/>
    <w:tmpl w:val="DB64378E"/>
    <w:lvl w:ilvl="0" w:tplc="EEB064E2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/>
      </w:rPr>
    </w:lvl>
    <w:lvl w:ilvl="1" w:tplc="8AA2F10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3A32D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42BD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4A11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EEA19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A0B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A649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0D26A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184BAE"/>
    <w:multiLevelType w:val="hybridMultilevel"/>
    <w:tmpl w:val="F1D044AA"/>
    <w:lvl w:ilvl="0" w:tplc="6C1E16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E46E0"/>
    <w:multiLevelType w:val="hybridMultilevel"/>
    <w:tmpl w:val="65E8E5B6"/>
    <w:lvl w:ilvl="0" w:tplc="8E5272B4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000000"/>
      </w:rPr>
    </w:lvl>
    <w:lvl w:ilvl="1" w:tplc="BEC06BD6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49E686C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97201866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6930D630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93641104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1E33B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844353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D7C8C5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F3"/>
    <w:rsid w:val="00007B45"/>
    <w:rsid w:val="00031CEC"/>
    <w:rsid w:val="00042100"/>
    <w:rsid w:val="000443B4"/>
    <w:rsid w:val="00046193"/>
    <w:rsid w:val="00046530"/>
    <w:rsid w:val="000564B4"/>
    <w:rsid w:val="0008311C"/>
    <w:rsid w:val="00094FCE"/>
    <w:rsid w:val="000B1114"/>
    <w:rsid w:val="000D0A27"/>
    <w:rsid w:val="000D4035"/>
    <w:rsid w:val="000E3315"/>
    <w:rsid w:val="000F01A3"/>
    <w:rsid w:val="001169B4"/>
    <w:rsid w:val="00132AD3"/>
    <w:rsid w:val="00142F8C"/>
    <w:rsid w:val="00144522"/>
    <w:rsid w:val="0015191A"/>
    <w:rsid w:val="001643F3"/>
    <w:rsid w:val="00166D44"/>
    <w:rsid w:val="0017131F"/>
    <w:rsid w:val="0017158F"/>
    <w:rsid w:val="001B59DF"/>
    <w:rsid w:val="001E032F"/>
    <w:rsid w:val="001F5F8F"/>
    <w:rsid w:val="00200443"/>
    <w:rsid w:val="00212A15"/>
    <w:rsid w:val="00212A1D"/>
    <w:rsid w:val="00226D96"/>
    <w:rsid w:val="00231464"/>
    <w:rsid w:val="0024722E"/>
    <w:rsid w:val="002630C0"/>
    <w:rsid w:val="002643E4"/>
    <w:rsid w:val="00264631"/>
    <w:rsid w:val="0027294E"/>
    <w:rsid w:val="0027388E"/>
    <w:rsid w:val="002817F8"/>
    <w:rsid w:val="00287D59"/>
    <w:rsid w:val="00292803"/>
    <w:rsid w:val="002937CE"/>
    <w:rsid w:val="00295A21"/>
    <w:rsid w:val="002B6073"/>
    <w:rsid w:val="002D6407"/>
    <w:rsid w:val="00312D2F"/>
    <w:rsid w:val="0031568D"/>
    <w:rsid w:val="00315A12"/>
    <w:rsid w:val="003419AA"/>
    <w:rsid w:val="00344B0E"/>
    <w:rsid w:val="00345C86"/>
    <w:rsid w:val="00350D69"/>
    <w:rsid w:val="00353E3C"/>
    <w:rsid w:val="0036049B"/>
    <w:rsid w:val="00362D40"/>
    <w:rsid w:val="00367CF4"/>
    <w:rsid w:val="00381A4E"/>
    <w:rsid w:val="003950E7"/>
    <w:rsid w:val="003A44EC"/>
    <w:rsid w:val="003B2F1A"/>
    <w:rsid w:val="003E2E01"/>
    <w:rsid w:val="003E7879"/>
    <w:rsid w:val="003F660F"/>
    <w:rsid w:val="0040238C"/>
    <w:rsid w:val="00411C9A"/>
    <w:rsid w:val="00422E13"/>
    <w:rsid w:val="00430FEC"/>
    <w:rsid w:val="004370AF"/>
    <w:rsid w:val="00440F7C"/>
    <w:rsid w:val="004578CF"/>
    <w:rsid w:val="00475C94"/>
    <w:rsid w:val="00480A7C"/>
    <w:rsid w:val="00481FE7"/>
    <w:rsid w:val="00496A0A"/>
    <w:rsid w:val="004A4F68"/>
    <w:rsid w:val="004A7ADC"/>
    <w:rsid w:val="004D6624"/>
    <w:rsid w:val="004E656A"/>
    <w:rsid w:val="004E7E7E"/>
    <w:rsid w:val="00500887"/>
    <w:rsid w:val="00505B25"/>
    <w:rsid w:val="00512E1D"/>
    <w:rsid w:val="0051417D"/>
    <w:rsid w:val="00526F87"/>
    <w:rsid w:val="005339D5"/>
    <w:rsid w:val="00536AE6"/>
    <w:rsid w:val="0054021F"/>
    <w:rsid w:val="00551B3E"/>
    <w:rsid w:val="005545A2"/>
    <w:rsid w:val="00557A50"/>
    <w:rsid w:val="0056165D"/>
    <w:rsid w:val="005779C3"/>
    <w:rsid w:val="00581E54"/>
    <w:rsid w:val="005B2FBA"/>
    <w:rsid w:val="005B3F50"/>
    <w:rsid w:val="005B5DA7"/>
    <w:rsid w:val="005C204D"/>
    <w:rsid w:val="005C5D64"/>
    <w:rsid w:val="005C6CF6"/>
    <w:rsid w:val="005D0A4B"/>
    <w:rsid w:val="005F1677"/>
    <w:rsid w:val="005F4CAB"/>
    <w:rsid w:val="00607BF1"/>
    <w:rsid w:val="00614E04"/>
    <w:rsid w:val="0064103F"/>
    <w:rsid w:val="006658D4"/>
    <w:rsid w:val="00666194"/>
    <w:rsid w:val="00680F11"/>
    <w:rsid w:val="0069550D"/>
    <w:rsid w:val="0069609E"/>
    <w:rsid w:val="006A5DDC"/>
    <w:rsid w:val="006B0FFD"/>
    <w:rsid w:val="006D35D1"/>
    <w:rsid w:val="006E45E7"/>
    <w:rsid w:val="006E742C"/>
    <w:rsid w:val="006F0E22"/>
    <w:rsid w:val="006F308F"/>
    <w:rsid w:val="00707BD6"/>
    <w:rsid w:val="007107A2"/>
    <w:rsid w:val="00712CA2"/>
    <w:rsid w:val="007326B3"/>
    <w:rsid w:val="00737D0B"/>
    <w:rsid w:val="00746DD3"/>
    <w:rsid w:val="00775929"/>
    <w:rsid w:val="007B2D66"/>
    <w:rsid w:val="007C5923"/>
    <w:rsid w:val="007C69CE"/>
    <w:rsid w:val="007C6F48"/>
    <w:rsid w:val="007C7FAC"/>
    <w:rsid w:val="007E0FDA"/>
    <w:rsid w:val="007E6E57"/>
    <w:rsid w:val="007F01F4"/>
    <w:rsid w:val="007F7760"/>
    <w:rsid w:val="007F7A54"/>
    <w:rsid w:val="008267B7"/>
    <w:rsid w:val="00834249"/>
    <w:rsid w:val="008545AE"/>
    <w:rsid w:val="0086379C"/>
    <w:rsid w:val="00865B7F"/>
    <w:rsid w:val="0087432A"/>
    <w:rsid w:val="0088431A"/>
    <w:rsid w:val="00892811"/>
    <w:rsid w:val="008A3273"/>
    <w:rsid w:val="008B3E91"/>
    <w:rsid w:val="008C0EF1"/>
    <w:rsid w:val="008C20C9"/>
    <w:rsid w:val="008C2168"/>
    <w:rsid w:val="008C6C96"/>
    <w:rsid w:val="008D5C8F"/>
    <w:rsid w:val="009151A1"/>
    <w:rsid w:val="00920D7C"/>
    <w:rsid w:val="0092515A"/>
    <w:rsid w:val="00934803"/>
    <w:rsid w:val="009532B7"/>
    <w:rsid w:val="0095460E"/>
    <w:rsid w:val="00975287"/>
    <w:rsid w:val="0097743A"/>
    <w:rsid w:val="00983101"/>
    <w:rsid w:val="0098676D"/>
    <w:rsid w:val="0099259E"/>
    <w:rsid w:val="009A6AB0"/>
    <w:rsid w:val="009A725B"/>
    <w:rsid w:val="009C6E18"/>
    <w:rsid w:val="009D5F9B"/>
    <w:rsid w:val="009E1A34"/>
    <w:rsid w:val="009F29F5"/>
    <w:rsid w:val="00A0052E"/>
    <w:rsid w:val="00A01331"/>
    <w:rsid w:val="00A030FB"/>
    <w:rsid w:val="00A10059"/>
    <w:rsid w:val="00A217D1"/>
    <w:rsid w:val="00A368B1"/>
    <w:rsid w:val="00A51017"/>
    <w:rsid w:val="00A51F48"/>
    <w:rsid w:val="00A60C4D"/>
    <w:rsid w:val="00A61A21"/>
    <w:rsid w:val="00A81CB9"/>
    <w:rsid w:val="00A831C7"/>
    <w:rsid w:val="00A83FB2"/>
    <w:rsid w:val="00A87C30"/>
    <w:rsid w:val="00A96EEF"/>
    <w:rsid w:val="00AA2F9F"/>
    <w:rsid w:val="00AC42C1"/>
    <w:rsid w:val="00AC46F9"/>
    <w:rsid w:val="00AC6D8F"/>
    <w:rsid w:val="00AD32EA"/>
    <w:rsid w:val="00B26E01"/>
    <w:rsid w:val="00B41E4B"/>
    <w:rsid w:val="00B535F5"/>
    <w:rsid w:val="00B55A3C"/>
    <w:rsid w:val="00BA3835"/>
    <w:rsid w:val="00BA58A8"/>
    <w:rsid w:val="00BA7B01"/>
    <w:rsid w:val="00BA7FBA"/>
    <w:rsid w:val="00BC2AE0"/>
    <w:rsid w:val="00BD6357"/>
    <w:rsid w:val="00BE53EA"/>
    <w:rsid w:val="00BF2A5F"/>
    <w:rsid w:val="00BF5D66"/>
    <w:rsid w:val="00C04D1E"/>
    <w:rsid w:val="00C05178"/>
    <w:rsid w:val="00C1680A"/>
    <w:rsid w:val="00C16E3A"/>
    <w:rsid w:val="00C31233"/>
    <w:rsid w:val="00C41263"/>
    <w:rsid w:val="00C4656C"/>
    <w:rsid w:val="00C63622"/>
    <w:rsid w:val="00C64903"/>
    <w:rsid w:val="00C970BE"/>
    <w:rsid w:val="00CA2B0A"/>
    <w:rsid w:val="00CA7018"/>
    <w:rsid w:val="00CD0420"/>
    <w:rsid w:val="00CD12CD"/>
    <w:rsid w:val="00CD66AE"/>
    <w:rsid w:val="00CE0DCB"/>
    <w:rsid w:val="00CF1FAA"/>
    <w:rsid w:val="00D1188A"/>
    <w:rsid w:val="00D20EA3"/>
    <w:rsid w:val="00D27384"/>
    <w:rsid w:val="00D36D5F"/>
    <w:rsid w:val="00D470B0"/>
    <w:rsid w:val="00D53F58"/>
    <w:rsid w:val="00D56421"/>
    <w:rsid w:val="00D5723B"/>
    <w:rsid w:val="00D6644A"/>
    <w:rsid w:val="00D70017"/>
    <w:rsid w:val="00D762F2"/>
    <w:rsid w:val="00D82BDD"/>
    <w:rsid w:val="00D84129"/>
    <w:rsid w:val="00DA279B"/>
    <w:rsid w:val="00DA39C2"/>
    <w:rsid w:val="00DC068A"/>
    <w:rsid w:val="00DC1293"/>
    <w:rsid w:val="00DD5126"/>
    <w:rsid w:val="00DD554F"/>
    <w:rsid w:val="00DE4557"/>
    <w:rsid w:val="00DE5486"/>
    <w:rsid w:val="00DE75BC"/>
    <w:rsid w:val="00DF2DE6"/>
    <w:rsid w:val="00E10101"/>
    <w:rsid w:val="00E12DD8"/>
    <w:rsid w:val="00E26469"/>
    <w:rsid w:val="00E32ED5"/>
    <w:rsid w:val="00E33F42"/>
    <w:rsid w:val="00E41CC1"/>
    <w:rsid w:val="00E439C3"/>
    <w:rsid w:val="00E479FB"/>
    <w:rsid w:val="00E55517"/>
    <w:rsid w:val="00E65BC3"/>
    <w:rsid w:val="00E730DB"/>
    <w:rsid w:val="00E75344"/>
    <w:rsid w:val="00E7750D"/>
    <w:rsid w:val="00E81083"/>
    <w:rsid w:val="00E81C6A"/>
    <w:rsid w:val="00E864F7"/>
    <w:rsid w:val="00E91E64"/>
    <w:rsid w:val="00E92444"/>
    <w:rsid w:val="00E9667A"/>
    <w:rsid w:val="00EA0481"/>
    <w:rsid w:val="00EA0ACD"/>
    <w:rsid w:val="00EB4D67"/>
    <w:rsid w:val="00ED00B1"/>
    <w:rsid w:val="00ED2636"/>
    <w:rsid w:val="00EE24DE"/>
    <w:rsid w:val="00EE2F6F"/>
    <w:rsid w:val="00EF7E71"/>
    <w:rsid w:val="00F06F8A"/>
    <w:rsid w:val="00F072EC"/>
    <w:rsid w:val="00F12473"/>
    <w:rsid w:val="00F174A7"/>
    <w:rsid w:val="00F1776F"/>
    <w:rsid w:val="00F274BB"/>
    <w:rsid w:val="00F35962"/>
    <w:rsid w:val="00F43E2A"/>
    <w:rsid w:val="00F452D7"/>
    <w:rsid w:val="00F54A7A"/>
    <w:rsid w:val="00F76D90"/>
    <w:rsid w:val="00F77754"/>
    <w:rsid w:val="00F8455E"/>
    <w:rsid w:val="00F91496"/>
    <w:rsid w:val="00F96D0C"/>
    <w:rsid w:val="00FA2C99"/>
    <w:rsid w:val="00FB5E3E"/>
    <w:rsid w:val="00FC4C89"/>
    <w:rsid w:val="00FC63A6"/>
    <w:rsid w:val="00FD4D90"/>
    <w:rsid w:val="00FE262F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3" fillcolor="white">
      <v:fill color="white"/>
      <o:colormru v:ext="edit" colors="#ddd"/>
    </o:shapedefaults>
    <o:shapelayout v:ext="edit">
      <o:idmap v:ext="edit" data="1"/>
    </o:shapelayout>
  </w:shapeDefaults>
  <w:decimalSymbol w:val=","/>
  <w:listSeparator w:val=";"/>
  <w14:docId w14:val="6017AAA9"/>
  <w15:docId w15:val="{BCF74B5B-64CD-42D8-BAA1-E2FDACF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63A6"/>
    <w:rPr>
      <w:rFonts w:ascii="Arial Narrow" w:hAnsi="Arial Narrow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color w:val="808080"/>
      <w:sz w:val="96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outlineLvl w:val="4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link w:val="RpidoCar"/>
    <w:uiPriority w:val="99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pPr>
      <w:ind w:left="851"/>
      <w:jc w:val="both"/>
    </w:pPr>
    <w:rPr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customStyle="1" w:styleId="logotipo">
    <w:name w:val="logotipo"/>
    <w:basedOn w:val="Normal"/>
    <w:pPr>
      <w:spacing w:before="360"/>
      <w:ind w:right="-1487"/>
      <w:jc w:val="both"/>
    </w:pPr>
    <w:rPr>
      <w:rFonts w:ascii="Gill Sans MT" w:hAnsi="Gill Sans MT"/>
      <w:sz w:val="22"/>
    </w:rPr>
  </w:style>
  <w:style w:type="paragraph" w:customStyle="1" w:styleId="H">
    <w:name w:val="H"/>
    <w:basedOn w:val="Normal"/>
    <w:pPr>
      <w:spacing w:before="120" w:line="144" w:lineRule="exact"/>
      <w:ind w:left="74"/>
    </w:pPr>
    <w:rPr>
      <w:rFonts w:ascii="Gill Sans" w:hAnsi="Gill Sans"/>
      <w:sz w:val="14"/>
    </w:rPr>
  </w:style>
  <w:style w:type="paragraph" w:customStyle="1" w:styleId="I">
    <w:name w:val="I"/>
    <w:basedOn w:val="Normal"/>
    <w:pPr>
      <w:jc w:val="center"/>
    </w:pPr>
    <w:rPr>
      <w:sz w:val="18"/>
    </w:rPr>
  </w:style>
  <w:style w:type="character" w:styleId="Hipervnculo">
    <w:name w:val="Hyperlink"/>
    <w:basedOn w:val="Fuentedeprrafopredeter"/>
    <w:rsid w:val="005C5D64"/>
    <w:rPr>
      <w:color w:val="0000FF"/>
      <w:u w:val="single"/>
    </w:rPr>
  </w:style>
  <w:style w:type="paragraph" w:customStyle="1" w:styleId="Prrafodelista1">
    <w:name w:val="Párrafo de lista1"/>
    <w:basedOn w:val="Normal"/>
    <w:link w:val="ListParagraphChar"/>
    <w:rsid w:val="00D82BDD"/>
    <w:pPr>
      <w:spacing w:before="240" w:after="200" w:line="276" w:lineRule="auto"/>
      <w:ind w:left="720"/>
      <w:contextualSpacing/>
      <w:jc w:val="both"/>
    </w:pPr>
    <w:rPr>
      <w:rFonts w:ascii="Calibri" w:hAnsi="Calibri" w:cs="Times New Roman"/>
      <w:sz w:val="20"/>
      <w:lang w:eastAsia="en-US"/>
    </w:rPr>
  </w:style>
  <w:style w:type="paragraph" w:customStyle="1" w:styleId="Default">
    <w:name w:val="Default"/>
    <w:rsid w:val="00D82B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stiloArial16ptNegrita">
    <w:name w:val="Estilo Arial 16 pt Negrita"/>
    <w:basedOn w:val="Fuentedeprrafopredeter"/>
    <w:rsid w:val="00D82BDD"/>
    <w:rPr>
      <w:rFonts w:ascii="Arial" w:hAnsi="Arial" w:cs="Times New Roman"/>
      <w:b/>
      <w:bCs/>
      <w:sz w:val="32"/>
    </w:rPr>
  </w:style>
  <w:style w:type="paragraph" w:customStyle="1" w:styleId="EstiloListParagraphJustificadoAntes12ptoDespus12pto">
    <w:name w:val="Estilo List Paragraph + Justificado Antes:  12 pto Después:  12 pto"/>
    <w:basedOn w:val="Prrafodelista1"/>
    <w:rsid w:val="00D82BDD"/>
    <w:pPr>
      <w:spacing w:after="240"/>
    </w:pPr>
    <w:rPr>
      <w:rFonts w:ascii="Arial" w:hAnsi="Arial"/>
      <w:b/>
      <w:sz w:val="32"/>
    </w:rPr>
  </w:style>
  <w:style w:type="paragraph" w:customStyle="1" w:styleId="EstiloListParagraphArial16ptNegrita">
    <w:name w:val="Estilo List Paragraph + Arial 16 pt Negrita"/>
    <w:basedOn w:val="Normal"/>
    <w:link w:val="EstiloListParagraphArial16ptNegritaCar"/>
    <w:rsid w:val="00D82BDD"/>
    <w:pPr>
      <w:spacing w:before="240" w:after="240"/>
      <w:jc w:val="both"/>
    </w:pPr>
    <w:rPr>
      <w:rFonts w:ascii="Arial" w:hAnsi="Arial" w:cs="Times New Roman"/>
      <w:b/>
      <w:bCs/>
      <w:sz w:val="32"/>
      <w:szCs w:val="24"/>
    </w:rPr>
  </w:style>
  <w:style w:type="character" w:customStyle="1" w:styleId="EstiloListParagraphArial16ptNegritaCar">
    <w:name w:val="Estilo List Paragraph + Arial 16 pt Negrita Car"/>
    <w:basedOn w:val="Fuentedeprrafopredeter"/>
    <w:link w:val="EstiloListParagraphArial16ptNegrita"/>
    <w:locked/>
    <w:rsid w:val="00D82BDD"/>
    <w:rPr>
      <w:rFonts w:ascii="Arial" w:hAnsi="Arial"/>
      <w:b/>
      <w:bCs/>
      <w:sz w:val="32"/>
      <w:szCs w:val="24"/>
      <w:lang w:val="es-ES" w:eastAsia="es-ES" w:bidi="ar-SA"/>
    </w:rPr>
  </w:style>
  <w:style w:type="paragraph" w:customStyle="1" w:styleId="EstiloListParagraphJustificadoAntes12ptoDespus12pt">
    <w:name w:val="Estilo List Paragraph + Justificado Antes:  12 pto Después:  12 pt..."/>
    <w:basedOn w:val="Normal"/>
    <w:rsid w:val="00D82BDD"/>
    <w:pPr>
      <w:spacing w:before="240" w:after="240"/>
      <w:jc w:val="both"/>
    </w:pPr>
    <w:rPr>
      <w:rFonts w:ascii="Arial" w:hAnsi="Arial" w:cs="Times New Roman"/>
      <w:sz w:val="32"/>
    </w:rPr>
  </w:style>
  <w:style w:type="paragraph" w:customStyle="1" w:styleId="EstiloEstiloListParagraphJustificadoAntes12ptoDespus">
    <w:name w:val="Estilo Estilo List Paragraph + Justificado Antes:  12 pto Después:  ..."/>
    <w:basedOn w:val="EstiloListParagraphJustificadoAntes12ptoDespus12pto"/>
    <w:rsid w:val="00D82BDD"/>
    <w:pPr>
      <w:ind w:left="0"/>
    </w:pPr>
    <w:rPr>
      <w:bCs/>
    </w:rPr>
  </w:style>
  <w:style w:type="character" w:customStyle="1" w:styleId="ListParagraphChar">
    <w:name w:val="List Paragraph Char"/>
    <w:link w:val="Prrafodelista1"/>
    <w:locked/>
    <w:rsid w:val="00D82BDD"/>
    <w:rPr>
      <w:rFonts w:ascii="Calibri" w:hAnsi="Calibri"/>
      <w:lang w:val="es-ES" w:eastAsia="en-US" w:bidi="ar-SA"/>
    </w:rPr>
  </w:style>
  <w:style w:type="character" w:customStyle="1" w:styleId="EncabezadoCar">
    <w:name w:val="Encabezado Car"/>
    <w:link w:val="Encabezado"/>
    <w:rsid w:val="00F91496"/>
    <w:rPr>
      <w:rFonts w:ascii="Arial Narrow" w:hAnsi="Arial Narrow" w:cs="Arial"/>
      <w:sz w:val="24"/>
    </w:rPr>
  </w:style>
  <w:style w:type="paragraph" w:styleId="Textodeglobo">
    <w:name w:val="Balloon Text"/>
    <w:basedOn w:val="Normal"/>
    <w:link w:val="TextodegloboCar"/>
    <w:rsid w:val="00F91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91496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9"/>
    <w:rsid w:val="00FC63A6"/>
    <w:rPr>
      <w:rFonts w:ascii="Arial Narrow" w:hAnsi="Arial Narrow" w:cs="Arial"/>
      <w:sz w:val="28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63A6"/>
    <w:rPr>
      <w:rFonts w:ascii="Courier" w:hAnsi="Courier" w:cs="Arial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C63A6"/>
    <w:rPr>
      <w:rFonts w:ascii="Arial Narrow" w:hAnsi="Arial Narrow" w:cs="Arial"/>
      <w:sz w:val="28"/>
    </w:rPr>
  </w:style>
  <w:style w:type="paragraph" w:styleId="Prrafodelista">
    <w:name w:val="List Paragraph"/>
    <w:basedOn w:val="Normal"/>
    <w:uiPriority w:val="99"/>
    <w:qFormat/>
    <w:rsid w:val="00FC63A6"/>
    <w:pPr>
      <w:ind w:left="720"/>
      <w:contextualSpacing/>
    </w:pPr>
  </w:style>
  <w:style w:type="character" w:customStyle="1" w:styleId="RpidoCar">
    <w:name w:val="Rápido _ Car"/>
    <w:link w:val="Rpido"/>
    <w:uiPriority w:val="99"/>
    <w:locked/>
    <w:rsid w:val="00FC63A6"/>
    <w:rPr>
      <w:snapToGrid w:val="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2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F380-2476-40BD-AEF2-5946A2FB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SORIA ARRIBAS, ROSA MARIA</dc:creator>
  <cp:lastModifiedBy>RUIZ-HIDALGO ARGANDOÑA, EVA MARIA</cp:lastModifiedBy>
  <cp:revision>5</cp:revision>
  <cp:lastPrinted>2020-12-22T07:07:00Z</cp:lastPrinted>
  <dcterms:created xsi:type="dcterms:W3CDTF">2021-02-17T12:18:00Z</dcterms:created>
  <dcterms:modified xsi:type="dcterms:W3CDTF">2021-02-17T18:04:00Z</dcterms:modified>
</cp:coreProperties>
</file>